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129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C3-233</w:t>
      </w:r>
      <w:r>
        <w:rPr>
          <w:rFonts w:hint="default"/>
          <w:b/>
          <w:i/>
          <w:sz w:val="28"/>
          <w:lang w:val="en-US" w:eastAsia="zh-CN"/>
        </w:rPr>
        <w:t>4</w:t>
      </w:r>
      <w:r>
        <w:rPr>
          <w:b/>
          <w:i/>
          <w:sz w:val="28"/>
        </w:rPr>
        <w:fldChar w:fldCharType="end"/>
      </w:r>
      <w:r>
        <w:rPr>
          <w:rFonts w:hint="default"/>
          <w:b/>
          <w:i/>
          <w:sz w:val="28"/>
          <w:lang w:val="en-US"/>
        </w:rPr>
        <w:t>43</w:t>
      </w:r>
    </w:p>
    <w:p>
      <w:pPr>
        <w:pStyle w:val="130"/>
        <w:outlineLvl w:val="0"/>
        <w:rPr>
          <w:b/>
          <w:sz w:val="24"/>
        </w:rPr>
      </w:pPr>
      <w:r>
        <w:rPr>
          <w:b/>
          <w:sz w:val="24"/>
        </w:rPr>
        <w:t>Goteborg, Sweden, 21 - 25 August,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cs="Arial"/>
          <w:b/>
          <w:bCs/>
          <w:color w:val="0000FF"/>
        </w:rPr>
        <w:t>(revision of C3-233abc)</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b/>
                <w:sz w:val="28"/>
              </w:rPr>
              <w:t>29.522</w:t>
            </w:r>
          </w:p>
        </w:tc>
        <w:tc>
          <w:tcPr>
            <w:tcW w:w="709" w:type="dxa"/>
          </w:tcPr>
          <w:p>
            <w:pPr>
              <w:pStyle w:val="130"/>
              <w:spacing w:after="0"/>
              <w:jc w:val="center"/>
            </w:pPr>
            <w:r>
              <w:rPr>
                <w:b/>
                <w:sz w:val="28"/>
              </w:rPr>
              <w:t>CR</w:t>
            </w:r>
          </w:p>
        </w:tc>
        <w:tc>
          <w:tcPr>
            <w:tcW w:w="1276" w:type="dxa"/>
            <w:shd w:val="pct30" w:color="FFFF00" w:fill="auto"/>
          </w:tcPr>
          <w:p>
            <w:pPr>
              <w:pStyle w:val="130"/>
              <w:spacing w:after="0"/>
              <w:rPr>
                <w:rFonts w:hint="default"/>
                <w:lang w:val="en-US"/>
              </w:rPr>
            </w:pPr>
            <w:bookmarkStart w:id="13" w:name="_GoBack"/>
            <w:r>
              <w:rPr>
                <w:rFonts w:hint="default"/>
                <w:b/>
                <w:sz w:val="28"/>
                <w:lang w:val="en-US"/>
              </w:rPr>
              <w:t>1038</w:t>
            </w:r>
            <w:bookmarkEnd w:id="13"/>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b/>
                <w:sz w:val="28"/>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18.2.0</w:t>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pPr>
            <w:r>
              <w:rPr>
                <w:rFonts w:hint="eastAsia"/>
                <w:lang w:eastAsia="zh-CN"/>
              </w:rPr>
              <w:t>Support of the End of Data Burst Indication</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lang w:eastAsia="ja-JP"/>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lang w:eastAsia="zh-CN"/>
              </w:rPr>
            </w:pPr>
            <w:r>
              <w:rPr>
                <w:rFonts w:hint="eastAsia"/>
                <w:lang w:eastAsia="zh-CN"/>
              </w:rPr>
              <w:t>X</w:t>
            </w:r>
            <w:r>
              <w:rPr>
                <w:lang w:eastAsia="zh-CN"/>
              </w:rPr>
              <w:t>RM</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eastAsia" w:eastAsia="宋体"/>
                <w:lang w:val="en-US" w:eastAsia="zh-CN"/>
              </w:rPr>
            </w:pPr>
            <w:r>
              <w:t>2023-08-1</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lang w:eastAsia="zh-CN"/>
              </w:rPr>
            </w:pPr>
            <w:r>
              <w:rPr>
                <w:rFonts w:hint="eastAsia"/>
                <w:b/>
                <w:lang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1"/>
                <w:numId w:val="0"/>
              </w:numPr>
              <w:spacing w:after="0"/>
              <w:rPr>
                <w:lang w:eastAsia="ja-JP"/>
              </w:rPr>
            </w:pPr>
            <w:r>
              <w:rPr>
                <w:rFonts w:ascii="Arial" w:hAnsi="Arial" w:cs="Times New Roman"/>
                <w:lang w:val="en-US"/>
              </w:rPr>
              <w:t xml:space="preserve">Clause </w:t>
            </w:r>
            <w:r>
              <w:rPr>
                <w:rFonts w:ascii="Arial" w:hAnsi="Arial" w:cs="Times New Roman"/>
              </w:rPr>
              <w:t>5.37.8.</w:t>
            </w:r>
            <w:r>
              <w:rPr>
                <w:rFonts w:hint="eastAsia" w:ascii="Arial" w:hAnsi="Arial" w:cs="Times New Roman"/>
                <w:lang w:val="en-US" w:eastAsia="zh-CN"/>
              </w:rPr>
              <w:t>3</w:t>
            </w:r>
            <w:r>
              <w:rPr>
                <w:rFonts w:ascii="Arial" w:hAnsi="Arial" w:cs="Times New Roman"/>
              </w:rPr>
              <w:t xml:space="preserve"> of 23.50</w:t>
            </w:r>
            <w:r>
              <w:rPr>
                <w:rFonts w:ascii="Arial" w:hAnsi="Arial" w:cs="Times New Roman"/>
                <w:lang w:val="en-US"/>
              </w:rPr>
              <w:t>1</w:t>
            </w:r>
            <w:r>
              <w:rPr>
                <w:rFonts w:hint="eastAsia" w:ascii="Arial" w:hAnsi="Arial" w:cs="Times New Roman"/>
                <w:lang w:val="en-US" w:eastAsia="zh-CN"/>
              </w:rPr>
              <w:t xml:space="preserve"> and</w:t>
            </w:r>
            <w:r>
              <w:rPr>
                <w:rFonts w:ascii="Arial" w:hAnsi="Arial" w:cs="Times New Roman"/>
                <w:lang w:val="en-US"/>
              </w:rPr>
              <w:t xml:space="preserve"> S2-230</w:t>
            </w:r>
            <w:r>
              <w:rPr>
                <w:rFonts w:hint="eastAsia" w:ascii="Arial" w:hAnsi="Arial" w:cs="Times New Roman"/>
                <w:lang w:val="en-US" w:eastAsia="zh-CN"/>
              </w:rPr>
              <w:t xml:space="preserve">8196 </w:t>
            </w:r>
            <w:r>
              <w:rPr>
                <w:rFonts w:ascii="Arial" w:hAnsi="Arial" w:cs="Times New Roman"/>
              </w:rPr>
              <w:t xml:space="preserve">specified that </w:t>
            </w:r>
            <w:r>
              <w:rPr>
                <w:rFonts w:hint="eastAsia" w:ascii="Arial" w:hAnsi="Arial" w:cs="Times New Roman"/>
              </w:rPr>
              <w:t xml:space="preserve">PCF may </w:t>
            </w:r>
            <w:bookmarkStart w:id="1" w:name="OLE_LINK1"/>
            <w:r>
              <w:rPr>
                <w:rFonts w:hint="eastAsia" w:ascii="Arial" w:hAnsi="Arial" w:cs="Times New Roman"/>
              </w:rPr>
              <w:t>provision</w:t>
            </w:r>
            <w:bookmarkEnd w:id="1"/>
            <w:r>
              <w:rPr>
                <w:rFonts w:hint="eastAsia" w:ascii="Arial" w:hAnsi="Arial" w:cs="Times New Roman"/>
              </w:rPr>
              <w:t xml:space="preserve"> the Protocol Description within PCC Rules based on the information provided by the AF</w:t>
            </w:r>
            <w:r>
              <w:rPr>
                <w:rFonts w:hint="eastAsia" w:ascii="Arial" w:hAnsi="Arial" w:cs="Times New Roman"/>
                <w:lang w:val="en-US" w:eastAsia="zh-CN"/>
              </w:rPr>
              <w:t>,</w:t>
            </w:r>
            <w:r>
              <w:rPr>
                <w:rFonts w:ascii="Arial" w:hAnsi="Arial" w:cs="Times New Roman"/>
              </w:rPr>
              <w:t xml:space="preserve"> and finally </w:t>
            </w:r>
            <w:r>
              <w:rPr>
                <w:rFonts w:hint="eastAsia" w:ascii="Arial" w:hAnsi="Arial" w:cs="Times New Roman"/>
                <w:lang w:val="en-US" w:eastAsia="zh-CN"/>
              </w:rPr>
              <w:t>a</w:t>
            </w:r>
            <w:r>
              <w:rPr>
                <w:rFonts w:hint="eastAsia" w:ascii="Arial" w:hAnsi="Arial" w:cs="Times New Roman"/>
              </w:rPr>
              <w:t>n indication of End of Data Burst may be provided to the NG-RAN</w:t>
            </w:r>
            <w:r>
              <w:rPr>
                <w:rFonts w:hint="eastAsia" w:ascii="Arial" w:hAnsi="Arial" w:cs="Times New Roman"/>
                <w:lang w:val="en-US" w:eastAsia="zh-CN"/>
              </w:rPr>
              <w:t xml:space="preserve"> by the UPF,</w:t>
            </w:r>
            <w:r>
              <w:rPr>
                <w:rFonts w:ascii="Arial" w:hAnsi="Arial" w:cs="Times New Roman"/>
              </w:rPr>
              <w:t xml:space="preserve"> e.g. to configure UE power management schemes like connected mode DRX. This stage 2 requirement needs to be supported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lang w:eastAsia="zh-CN"/>
              </w:rPr>
            </w:pPr>
            <w:r>
              <w:t xml:space="preserve">Update the procedures for setting up an AF session with required QoS to support </w:t>
            </w:r>
            <w:r>
              <w:rPr>
                <w:rFonts w:hint="eastAsia"/>
              </w:rPr>
              <w:t>Protocol Description</w:t>
            </w:r>
            <w:r>
              <w:t xml:space="preserve"> </w:t>
            </w:r>
            <w:r>
              <w:rPr>
                <w:rFonts w:hint="eastAsia"/>
              </w:rPr>
              <w:t>provision</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lang w:eastAsia="zh-CN"/>
              </w:rPr>
              <w:t>The</w:t>
            </w:r>
            <w:r>
              <w:t xml:space="preserve"> </w:t>
            </w:r>
            <w:r>
              <w:rPr>
                <w:rFonts w:hint="eastAsia"/>
                <w:lang w:val="en-US" w:eastAsia="zh-CN"/>
              </w:rPr>
              <w:t>indication</w:t>
            </w:r>
            <w:r>
              <w:t xml:space="preserve"> of</w:t>
            </w:r>
            <w:r>
              <w:rPr>
                <w:lang w:eastAsia="zh-CN"/>
              </w:rPr>
              <w:t xml:space="preserve"> </w:t>
            </w:r>
            <w:r>
              <w:rPr>
                <w:rFonts w:hint="eastAsia"/>
                <w:lang w:eastAsia="zh-CN"/>
              </w:rPr>
              <w:t>End of Data Burst</w:t>
            </w:r>
            <w:r>
              <w:t xml:space="preserve"> is not supported.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rPr>
                <w:lang w:eastAsia="zh-CN"/>
              </w:rPr>
            </w:pPr>
            <w:r>
              <w:rPr>
                <w:rFonts w:hint="eastAsia"/>
                <w:lang w:eastAsia="zh-CN"/>
              </w:rPr>
              <w:t>4</w:t>
            </w:r>
            <w:r>
              <w:rPr>
                <w:lang w:eastAsia="zh-CN"/>
              </w:rPr>
              <w:t>.4.9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bCs/>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rPr>
                <w:lang w:eastAsia="zh-CN"/>
              </w:rPr>
            </w:pPr>
            <w:r>
              <w:rPr>
                <w:rFonts w:hint="eastAsia"/>
                <w:lang w:eastAsia="zh-CN"/>
              </w:rPr>
              <w:t>T</w:t>
            </w:r>
            <w:r>
              <w:rPr>
                <w:lang w:eastAsia="zh-CN"/>
              </w:rPr>
              <w:t>he CR does not impact any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outlineLvl w:val="0"/>
        <w:rPr>
          <w:b/>
          <w:bCs/>
        </w:rPr>
      </w:pPr>
      <w:r>
        <w:rPr>
          <w:b/>
          <w:bCs/>
        </w:rPr>
        <w:t>Additional discussion(if needed):</w:t>
      </w:r>
    </w:p>
    <w:p>
      <w:pPr>
        <w:outlineLvl w:val="0"/>
        <w:rPr>
          <w:b/>
          <w:bCs/>
          <w:sz w:val="24"/>
          <w:szCs w:val="24"/>
        </w:rPr>
      </w:pPr>
      <w:r>
        <w:rPr>
          <w:b/>
          <w:bCs/>
          <w:sz w:val="24"/>
          <w:szCs w:val="24"/>
        </w:rPr>
        <w:t>Proposed changes:</w:t>
      </w:r>
    </w:p>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1st Change ***</w:t>
      </w:r>
    </w:p>
    <w:p>
      <w:pPr>
        <w:pStyle w:val="5"/>
        <w:rPr>
          <w:lang w:eastAsia="zh-CN"/>
        </w:rPr>
      </w:pPr>
      <w:bookmarkStart w:id="2" w:name="_Toc138752401"/>
      <w:bookmarkStart w:id="3" w:name="_Toc136554353"/>
      <w:bookmarkStart w:id="4" w:name="_Hlk515639407"/>
      <w:r>
        <w:t>4.4.9</w:t>
      </w:r>
      <w:r>
        <w:tab/>
      </w:r>
      <w:r>
        <w:t>Procedures for setting up an AF session with required QoS</w:t>
      </w:r>
      <w:bookmarkEnd w:id="2"/>
      <w:bookmarkEnd w:id="3"/>
    </w:p>
    <w:p>
      <w:r>
        <w:t>The procedures for setting up an AF session with required QoS in 5GS are described in clause 4.4.13 of 3GPP TS 29.122 [4] with the following differences:</w:t>
      </w:r>
    </w:p>
    <w:p>
      <w:pPr>
        <w:pStyle w:val="124"/>
      </w:pPr>
      <w:r>
        <w:t>-</w:t>
      </w:r>
      <w:r>
        <w:tab/>
      </w:r>
      <w:r>
        <w:t>description of the SCS/AS applies to the AF;</w:t>
      </w:r>
    </w:p>
    <w:p>
      <w:pPr>
        <w:pStyle w:val="124"/>
      </w:pPr>
      <w:r>
        <w:t>-</w:t>
      </w:r>
      <w:r>
        <w:tab/>
      </w:r>
      <w:r>
        <w:t>description of the SCEF applies to the NEF;</w:t>
      </w:r>
    </w:p>
    <w:p>
      <w:pPr>
        <w:pStyle w:val="124"/>
      </w:pPr>
      <w:r>
        <w:t>-</w:t>
      </w:r>
      <w:r>
        <w:tab/>
      </w:r>
      <w:r>
        <w:t xml:space="preserve">description of the PCRF applies to the PCF; </w:t>
      </w:r>
    </w:p>
    <w:p>
      <w:pPr>
        <w:pStyle w:val="124"/>
      </w:pPr>
      <w:r>
        <w:t>-</w:t>
      </w:r>
      <w:r>
        <w:tab/>
      </w:r>
      <w:r>
        <w:t xml:space="preserve">the NEF may interact with BSF by using Nbsf_Management_Discovery service as defined in 3GPP TS 29.521 [9] to retrieve the PCF address; </w:t>
      </w:r>
    </w:p>
    <w:p>
      <w:pPr>
        <w:pStyle w:val="124"/>
      </w:pPr>
      <w:r>
        <w:t>-</w:t>
      </w:r>
      <w:r>
        <w:tab/>
      </w:r>
      <w:r>
        <w:t xml:space="preserve">the NEF shall interact with the PCF by using Npcf_PolicyAuthorization service as defined in 3GPP TS 29.514 [7]; </w:t>
      </w:r>
    </w:p>
    <w:p>
      <w:pPr>
        <w:pStyle w:val="124"/>
      </w:pPr>
      <w:r>
        <w:t>-</w:t>
      </w:r>
      <w:r>
        <w:tab/>
      </w:r>
      <w:r>
        <w:t>in the HTTP POST request, the AF may include a "dnn" attribute and/or a "snssai" attribute; and in the HTTP PUT request, the AF shall keep the same value(s) of the "dnn" attribute and/or the "snssai" attribute as set in the HTTP POST request if provided;</w:t>
      </w:r>
    </w:p>
    <w:p>
      <w:pPr>
        <w:pStyle w:val="124"/>
      </w:pPr>
      <w:r>
        <w:t>-</w:t>
      </w:r>
      <w:r>
        <w:tab/>
      </w:r>
      <w:r>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pPr>
        <w:pStyle w:val="124"/>
      </w:pPr>
      <w:r>
        <w:t>-</w:t>
      </w:r>
      <w:r>
        <w:tab/>
      </w:r>
      <w:r>
        <w:t xml:space="preserve">if the EthAsSessionQoS_5G feature </w:t>
      </w:r>
      <w:r>
        <w:rPr>
          <w:lang w:eastAsia="zh-CN"/>
        </w:rPr>
        <w:t>as defined in clause</w:t>
      </w:r>
      <w:r>
        <w:rPr>
          <w:lang w:val="en-US" w:eastAsia="zh-CN"/>
        </w:rPr>
        <w:t xml:space="preserve"> 5.14.4 of 3GPP TS 29.122 [4] </w:t>
      </w:r>
      <w:r>
        <w:t>is supported and the request is for Ethernet UE:</w:t>
      </w:r>
    </w:p>
    <w:p>
      <w:pPr>
        <w:pStyle w:val="125"/>
      </w:pPr>
      <w:r>
        <w:t>-</w:t>
      </w:r>
      <w:r>
        <w:tab/>
      </w:r>
      <w:r>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pPr>
        <w:pStyle w:val="125"/>
      </w:pPr>
      <w:r>
        <w:t>-</w:t>
      </w:r>
      <w:r>
        <w:tab/>
      </w:r>
      <w:r>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pPr>
        <w:pStyle w:val="124"/>
      </w:pPr>
      <w:r>
        <w:t>-</w:t>
      </w:r>
      <w:r>
        <w:tab/>
      </w:r>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pPr>
        <w:pStyle w:val="125"/>
      </w:pPr>
      <w:r>
        <w:t>-</w:t>
      </w:r>
      <w:r>
        <w:tab/>
      </w:r>
      <w:r>
        <w:t>one or more requested QoS Monitoring Parameter(s) within the "reqQosMonParams"; and</w:t>
      </w:r>
    </w:p>
    <w:p>
      <w:pPr>
        <w:pStyle w:val="125"/>
      </w:pPr>
      <w:r>
        <w:t>-</w:t>
      </w:r>
      <w:r>
        <w:tab/>
      </w:r>
      <w:r>
        <w:t>one or more report frequency within the "repFreqs" attribute; and</w:t>
      </w:r>
    </w:p>
    <w:p>
      <w:pPr>
        <w:pStyle w:val="125"/>
      </w:pPr>
      <w:r>
        <w:t>-</w:t>
      </w:r>
      <w:r>
        <w:tab/>
      </w:r>
      <w:r>
        <w:t xml:space="preserve">when the "repFreqs" attribute includes the value "PERIODIC", the periodic time for reporting </w:t>
      </w:r>
      <w:r>
        <w:rPr>
          <w:lang w:eastAsia="zh-CN"/>
        </w:rPr>
        <w:t xml:space="preserve">and, if the feature </w:t>
      </w:r>
      <w:r>
        <w:t xml:space="preserve">"PacketDelayFailureReport" </w:t>
      </w:r>
      <w:bookmarkStart w:id="5" w:name="OLE_LINK3"/>
      <w:r>
        <w:rPr>
          <w:rFonts w:hint="eastAsia"/>
          <w:lang w:val="en-US" w:eastAsia="zh-CN"/>
        </w:rPr>
        <w:t xml:space="preserve">or </w:t>
      </w:r>
      <w:r>
        <w:t>"</w:t>
      </w:r>
      <w:r>
        <w:rPr>
          <w:rFonts w:hint="eastAsia" w:cs="Arial"/>
          <w:szCs w:val="18"/>
          <w:lang w:val="en-US" w:eastAsia="zh-CN"/>
        </w:rPr>
        <w:t>XRM_5G</w:t>
      </w:r>
      <w:r>
        <w:t>"</w:t>
      </w:r>
      <w:bookmarkEnd w:id="5"/>
      <w:r>
        <w:t xml:space="preserve"> is supported, the maximum period with no QoS measurement results reported within the "repPeriod" attribute; and</w:t>
      </w:r>
    </w:p>
    <w:p>
      <w:pPr>
        <w:pStyle w:val="125"/>
      </w:pPr>
      <w:r>
        <w:t>-</w:t>
      </w:r>
      <w:r>
        <w:tab/>
      </w:r>
      <w:r>
        <w:t>when the "repFreqs" attribute includes the value "EVENT_TRIGGERED", for QoS monitoring for packet delay, the AF shall include:</w:t>
      </w:r>
    </w:p>
    <w:p>
      <w:pPr>
        <w:pStyle w:val="126"/>
      </w:pPr>
      <w:r>
        <w:t>-</w:t>
      </w:r>
      <w:r>
        <w:tab/>
      </w:r>
      <w:r>
        <w:t>the delay threshold for downlink with the "repThreshDl" attribute;</w:t>
      </w:r>
    </w:p>
    <w:p>
      <w:pPr>
        <w:pStyle w:val="126"/>
      </w:pPr>
      <w:r>
        <w:t>-</w:t>
      </w:r>
      <w:r>
        <w:tab/>
      </w:r>
      <w:r>
        <w:t>the delay threshold for uplink with the "repThreshUl" attribute; and/or</w:t>
      </w:r>
    </w:p>
    <w:p>
      <w:pPr>
        <w:pStyle w:val="126"/>
      </w:pPr>
      <w:r>
        <w:t>-</w:t>
      </w:r>
      <w:r>
        <w:tab/>
      </w:r>
      <w:bookmarkStart w:id="6" w:name="_Hlk129012286"/>
      <w:r>
        <w:t>the delay threshold for round trip with the "repThreshRp" attribute</w:t>
      </w:r>
      <w:bookmarkEnd w:id="6"/>
      <w:r>
        <w:t>;</w:t>
      </w:r>
    </w:p>
    <w:p>
      <w:pPr>
        <w:pStyle w:val="126"/>
        <w:rPr>
          <w:lang w:eastAsia="zh-CN"/>
        </w:rPr>
      </w:pPr>
      <w:r>
        <w:t>-</w:t>
      </w:r>
      <w:r>
        <w:tab/>
      </w:r>
      <w:r>
        <w:t>the minimum waiting time between subsequent reports within the "</w:t>
      </w:r>
      <w:r>
        <w:rPr>
          <w:lang w:eastAsia="zh-CN"/>
        </w:rPr>
        <w:t>waitTime" attribute; and</w:t>
      </w:r>
    </w:p>
    <w:p>
      <w:pPr>
        <w:pStyle w:val="126"/>
        <w:rPr>
          <w:lang w:eastAsia="zh-CN"/>
        </w:rPr>
      </w:pPr>
      <w:r>
        <w:rPr>
          <w:lang w:eastAsia="zh-CN"/>
        </w:rPr>
        <w:t>-</w:t>
      </w:r>
      <w:r>
        <w:rPr>
          <w:lang w:eastAsia="zh-CN"/>
        </w:rPr>
        <w:tab/>
      </w:r>
      <w:r>
        <w:rPr>
          <w:lang w:eastAsia="zh-CN"/>
        </w:rPr>
        <w:t xml:space="preserve">if the feature </w:t>
      </w:r>
      <w:r>
        <w:t xml:space="preserve">"PacketDelayFailureReport" </w:t>
      </w:r>
      <w:r>
        <w:rPr>
          <w:rFonts w:hint="eastAsia"/>
          <w:lang w:val="en-US" w:eastAsia="zh-CN"/>
        </w:rPr>
        <w:t xml:space="preserve">or </w:t>
      </w:r>
      <w:r>
        <w:t>"</w:t>
      </w:r>
      <w:r>
        <w:rPr>
          <w:rFonts w:hint="eastAsia" w:cs="Arial"/>
          <w:szCs w:val="18"/>
          <w:lang w:val="en-US" w:eastAsia="zh-CN"/>
        </w:rPr>
        <w:t>XRM_5G</w:t>
      </w:r>
      <w:r>
        <w:t>" is supported, the maximum period with no QoS measurement results reported within the "repPeriod" attribute</w:t>
      </w:r>
      <w:r>
        <w:rPr>
          <w:lang w:eastAsia="zh-CN"/>
        </w:rPr>
        <w:t>.</w:t>
      </w:r>
    </w:p>
    <w:p>
      <w:pPr>
        <w:pStyle w:val="125"/>
      </w:pPr>
      <w:r>
        <w:tab/>
      </w:r>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pPr>
        <w:pStyle w:val="125"/>
      </w:pPr>
      <w:r>
        <w:t>-</w:t>
      </w:r>
      <w:r>
        <w:tab/>
      </w:r>
      <w:r>
        <w:t xml:space="preserve">when the NEF receives the event notification for the AF transaction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 the received monitored QoS information. For QoS monitoring, it shall be:</w:t>
      </w:r>
    </w:p>
    <w:p>
      <w:pPr>
        <w:pStyle w:val="126"/>
      </w:pPr>
      <w:r>
        <w:t>-</w:t>
      </w:r>
      <w:r>
        <w:tab/>
      </w:r>
      <w:r>
        <w:t xml:space="preserve">one or two uplink packet delays within the "ulDelays" attribute; </w:t>
      </w:r>
    </w:p>
    <w:p>
      <w:pPr>
        <w:pStyle w:val="126"/>
      </w:pPr>
      <w:r>
        <w:t>-</w:t>
      </w:r>
      <w:r>
        <w:tab/>
      </w:r>
      <w:r>
        <w:t>one or two downlink packet delays within the "dlDelays" attribute;</w:t>
      </w:r>
    </w:p>
    <w:p>
      <w:pPr>
        <w:pStyle w:val="126"/>
      </w:pPr>
      <w:r>
        <w:t>-</w:t>
      </w:r>
      <w:r>
        <w:tab/>
      </w:r>
      <w:r>
        <w:t>one or two round trip packet delays within the "rtDelays" attribute; and/or</w:t>
      </w:r>
    </w:p>
    <w:p>
      <w:pPr>
        <w:pStyle w:val="126"/>
      </w:pPr>
      <w:r>
        <w:t>-</w:t>
      </w:r>
      <w:r>
        <w:tab/>
      </w:r>
      <w:r>
        <w:t xml:space="preserve">one or two </w:t>
      </w:r>
      <w:bookmarkStart w:id="7" w:name="OLE_LINK10"/>
      <w:r>
        <w:rPr>
          <w:rFonts w:hint="eastAsia"/>
          <w:lang w:val="en-US" w:eastAsia="zh-CN"/>
        </w:rPr>
        <w:t>congestion information</w:t>
      </w:r>
      <w:r>
        <w:t xml:space="preserve"> within the "</w:t>
      </w:r>
      <w:r>
        <w:rPr>
          <w:rFonts w:hint="eastAsia"/>
          <w:lang w:val="en-US" w:eastAsia="zh-CN"/>
        </w:rPr>
        <w:t>CongInfo</w:t>
      </w:r>
      <w:r>
        <w:t>"</w:t>
      </w:r>
      <w:bookmarkEnd w:id="7"/>
      <w:r>
        <w:t xml:space="preserve"> attribute; or</w:t>
      </w:r>
    </w:p>
    <w:p>
      <w:pPr>
        <w:pStyle w:val="126"/>
        <w:ind w:left="1137" w:hanging="285"/>
      </w:pPr>
      <w:r>
        <w:t>-</w:t>
      </w:r>
      <w:r>
        <w:tab/>
      </w:r>
      <w:bookmarkStart w:id="8" w:name="_Hlk129012371"/>
      <w:r>
        <w:t>if the feature "PacketDelayFailureReport" is supported, the packet delay measurement failure indicator within the "pdmf" attribute;</w:t>
      </w:r>
      <w:bookmarkEnd w:id="8"/>
      <w:r>
        <w:t xml:space="preserve"> or</w:t>
      </w:r>
    </w:p>
    <w:p>
      <w:pPr>
        <w:pStyle w:val="126"/>
        <w:ind w:left="1137" w:hanging="285"/>
        <w:rPr>
          <w:lang w:val="en-US" w:eastAsia="zh-CN"/>
        </w:rPr>
      </w:pPr>
      <w:r>
        <w:t>-</w:t>
      </w:r>
      <w:r>
        <w:tab/>
      </w:r>
      <w:r>
        <w:t>if the feature "</w:t>
      </w:r>
      <w:r>
        <w:rPr>
          <w:rFonts w:hint="eastAsia" w:cs="Arial"/>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pPr>
        <w:pStyle w:val="123"/>
        <w:ind w:left="1137" w:hanging="285"/>
        <w:rPr>
          <w:color w:val="auto"/>
        </w:rPr>
      </w:pPr>
      <w:bookmarkStart w:id="9" w:name="OLE_LINK8"/>
      <w:r>
        <w:rPr>
          <w:color w:val="auto"/>
        </w:rPr>
        <w:t xml:space="preserve">Editor’s Note: </w:t>
      </w:r>
      <w:r>
        <w:rPr>
          <w:rFonts w:hint="eastAsia"/>
          <w:color w:val="auto"/>
          <w:lang w:val="en-US" w:eastAsia="zh-CN"/>
        </w:rPr>
        <w:t>It is FFS</w:t>
      </w:r>
      <w:bookmarkStart w:id="10" w:name="OLE_LINK9"/>
      <w:r>
        <w:rPr>
          <w:rFonts w:hint="eastAsia"/>
          <w:color w:val="auto"/>
          <w:lang w:val="en-US" w:eastAsia="zh-CN"/>
        </w:rPr>
        <w:t xml:space="preserve"> whether new data type structure is needed for QoS monitoring control for multi-modal services.</w:t>
      </w:r>
      <w:bookmarkEnd w:id="10"/>
    </w:p>
    <w:bookmarkEnd w:id="9"/>
    <w:p>
      <w:pPr>
        <w:pStyle w:val="125"/>
      </w:pPr>
      <w:r>
        <w:t>-</w:t>
      </w:r>
      <w:r>
        <w:tab/>
      </w:r>
      <w:r>
        <w:t xml:space="preserve">if the "XRM_5G" feature is supported, when the NEF receives the event notification for the AF transaction as </w:t>
      </w:r>
      <w:r>
        <w:rPr>
          <w:rFonts w:hint="eastAsia"/>
        </w:rPr>
        <w:t xml:space="preserve">defined in </w:t>
      </w:r>
      <w:r>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pPr>
        <w:pStyle w:val="124"/>
        <w:rPr>
          <w:lang w:eastAsia="zh-CN"/>
        </w:rPr>
      </w:pPr>
      <w:r>
        <w:t>-</w:t>
      </w:r>
      <w:r>
        <w:tab/>
      </w:r>
      <w:r>
        <w:t>if the "</w:t>
      </w:r>
      <w:r>
        <w:rPr>
          <w:rFonts w:cs="Arial"/>
          <w:szCs w:val="18"/>
          <w:lang w:eastAsia="zh-CN"/>
        </w:rPr>
        <w:t>AlternativeQoS</w:t>
      </w:r>
      <w:r>
        <w:rPr>
          <w:rFonts w:hint="eastAsia" w:cs="Arial"/>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pPr>
        <w:pStyle w:val="124"/>
        <w:rPr>
          <w:lang w:eastAsia="zh-CN"/>
        </w:rPr>
      </w:pPr>
      <w:r>
        <w:rPr>
          <w:lang w:eastAsia="zh-CN"/>
        </w:rPr>
        <w:t>-</w:t>
      </w:r>
      <w:r>
        <w:rPr>
          <w:lang w:eastAsia="zh-CN"/>
        </w:rPr>
        <w:tab/>
      </w:r>
      <w:r>
        <w:rPr>
          <w:lang w:eastAsia="zh-CN"/>
        </w:rP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pPr>
        <w:pStyle w:val="124"/>
        <w:rPr>
          <w:lang w:eastAsia="zh-CN"/>
        </w:rPr>
      </w:pPr>
      <w:r>
        <w:rPr>
          <w:lang w:eastAsia="zh-CN"/>
        </w:rPr>
        <w:t>-</w:t>
      </w:r>
      <w:r>
        <w:rPr>
          <w:lang w:eastAsia="zh-CN"/>
        </w:rPr>
        <w:tab/>
      </w:r>
      <w:r>
        <w:rPr>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pPr>
        <w:pStyle w:val="124"/>
        <w:rPr>
          <w:lang w:eastAsia="zh-CN"/>
        </w:rPr>
      </w:pPr>
      <w:r>
        <w:rPr>
          <w:lang w:eastAsia="zh-CN"/>
        </w:rPr>
        <w:tab/>
      </w: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pPr>
        <w:pStyle w:val="105"/>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pPr>
        <w:pStyle w:val="124"/>
        <w:rPr>
          <w:lang w:eastAsia="zh-CN"/>
        </w:rPr>
      </w:pPr>
      <w:r>
        <w:t>-</w:t>
      </w:r>
      <w:r>
        <w:tab/>
      </w:r>
      <w:r>
        <w:t>if the "</w:t>
      </w:r>
      <w:r>
        <w:rPr>
          <w:rFonts w:cs="Arial"/>
          <w:szCs w:val="18"/>
          <w:lang w:eastAsia="zh-CN"/>
        </w:rPr>
        <w:t>TSC</w:t>
      </w:r>
      <w:r>
        <w:rPr>
          <w:rFonts w:hint="eastAsia" w:cs="Arial"/>
          <w:szCs w:val="18"/>
          <w:lang w:eastAsia="zh-CN"/>
        </w:rPr>
        <w:t>_5G</w:t>
      </w:r>
      <w:r>
        <w:t xml:space="preserve">" feature is supported, the AF may </w:t>
      </w:r>
      <w:r>
        <w:rPr>
          <w:lang w:eastAsia="zh-CN"/>
        </w:rPr>
        <w:t>include:</w:t>
      </w:r>
    </w:p>
    <w:p>
      <w:pPr>
        <w:pStyle w:val="125"/>
      </w:pPr>
      <w:r>
        <w:rPr>
          <w:lang w:eastAsia="zh-CN"/>
        </w:rPr>
        <w:t>-</w:t>
      </w:r>
      <w:r>
        <w:rPr>
          <w:lang w:eastAsia="zh-CN"/>
        </w:rPr>
        <w:tab/>
      </w:r>
      <w:r>
        <w:rPr>
          <w:lang w:eastAsia="zh-CN"/>
        </w:rPr>
        <w:t xml:space="preserve">the TSC QoS requirement within the "tscQosReq" attribute. </w:t>
      </w:r>
      <w:r>
        <w:t xml:space="preserve">Within the </w:t>
      </w:r>
      <w:r>
        <w:rPr>
          <w:lang w:eastAsia="zh-CN"/>
        </w:rPr>
        <w:t>TscQosRequirement</w:t>
      </w:r>
      <w:r>
        <w:t xml:space="preserve"> data structure, the AF may include:</w:t>
      </w:r>
    </w:p>
    <w:p>
      <w:pPr>
        <w:pStyle w:val="126"/>
      </w:pPr>
      <w:r>
        <w:t>-</w:t>
      </w:r>
      <w:r>
        <w:tab/>
      </w:r>
      <w:r>
        <w:t xml:space="preserve">the input information to construct the TSC Assistance Container within the "tscaiInputUl" attribute and/or "tscaiInputDl"attribute, and the </w:t>
      </w:r>
      <w:r>
        <w:rPr>
          <w:lang w:eastAsia="zh-CN"/>
        </w:rPr>
        <w:t>(g)PTP domain that the AF is located in within the "</w:t>
      </w:r>
      <w:r>
        <w:t>tscaiTimeDom</w:t>
      </w:r>
      <w:r>
        <w:rPr>
          <w:lang w:eastAsia="zh-CN"/>
        </w:rPr>
        <w:t>" attribute;</w:t>
      </w:r>
    </w:p>
    <w:p>
      <w:pPr>
        <w:keepLines/>
        <w:ind w:left="1135" w:hanging="851"/>
        <w:rPr>
          <w:lang w:eastAsia="zh-CN"/>
        </w:rPr>
      </w:pPr>
      <w:r>
        <w:t>NOTE 2:</w:t>
      </w:r>
      <w:r>
        <w:tab/>
      </w:r>
      <w:r>
        <w:t xml:space="preserve">For the adjustment of burst </w:t>
      </w:r>
      <w:r>
        <w:rPr>
          <w:rFonts w:hint="eastAsia"/>
          <w:lang w:eastAsia="zh-CN"/>
        </w:rPr>
        <w:t>sendi</w:t>
      </w:r>
      <w:r>
        <w:t xml:space="preserve">ng time and adjustment of periodicity within the </w:t>
      </w:r>
      <w:r>
        <w:rPr>
          <w:lang w:eastAsia="zh-CN"/>
        </w:rPr>
        <w:t>"</w:t>
      </w:r>
      <w:r>
        <w:t>periodicityR</w:t>
      </w:r>
      <w:r>
        <w:rPr>
          <w:rFonts w:hint="eastAsia"/>
        </w:rPr>
        <w:t>ange</w:t>
      </w:r>
      <w:r>
        <w:rPr>
          <w:lang w:eastAsia="zh-CN"/>
        </w:rPr>
        <w:t>" attribute</w:t>
      </w:r>
      <w:r>
        <w:t xml:space="preserve"> in the UL direction within the "tscaiInputUl" attribute, it is expected that the AF interacts with the application in the UE or devices behind the UE based on application layer signaling.</w:t>
      </w:r>
    </w:p>
    <w:p>
      <w:pPr>
        <w:pStyle w:val="126"/>
      </w:pPr>
      <w:r>
        <w:rPr>
          <w:lang w:eastAsia="zh-CN"/>
        </w:rPr>
        <w:t>-</w:t>
      </w:r>
      <w:r>
        <w:rPr>
          <w:lang w:eastAsia="zh-CN"/>
        </w:rPr>
        <w:tab/>
      </w:r>
      <w:r>
        <w:rPr>
          <w:lang w:eastAsia="zh-CN"/>
        </w:rPr>
        <w:t>the capability for BAT adaptation within the "capBatAdaptation" attribute, if the "EnTSCAC" feature is also supported. The capability for BAT adaptation and the burst arrival time window ("burstArrivalTimeWnd" attribute within the "tscaiInputUl" attribute and/or "tscaiInputDl" attribute of the "tscQosReq" attribute) are mutually exclusive;</w:t>
      </w:r>
      <w:r>
        <w:t xml:space="preserve"> and</w:t>
      </w:r>
    </w:p>
    <w:p>
      <w:pPr>
        <w:pStyle w:val="126"/>
        <w:rPr>
          <w:lang w:eastAsia="zh-CN"/>
        </w:rPr>
      </w:pPr>
      <w:r>
        <w:rPr>
          <w:lang w:eastAsia="zh-CN"/>
        </w:rPr>
        <w:t>-</w:t>
      </w:r>
      <w:r>
        <w:rPr>
          <w:lang w:eastAsia="zh-CN"/>
        </w:rPr>
        <w:tab/>
      </w:r>
      <w:r>
        <w:rPr>
          <w:lang w:eastAsia="zh-CN"/>
        </w:rPr>
        <w:t>if individual QoS parameters instead of QoS reference is provided, may include:</w:t>
      </w:r>
    </w:p>
    <w:p>
      <w:pPr>
        <w:pStyle w:val="127"/>
      </w:pPr>
      <w:r>
        <w:t>-</w:t>
      </w:r>
      <w:r>
        <w:tab/>
      </w:r>
      <w:r>
        <w:t>requested GBR within the "reqGbrDl" attribute and/or "reqGbrUl" attribute;</w:t>
      </w:r>
    </w:p>
    <w:p>
      <w:pPr>
        <w:pStyle w:val="127"/>
      </w:pPr>
      <w:r>
        <w:t>-</w:t>
      </w:r>
      <w:r>
        <w:tab/>
      </w:r>
      <w:r>
        <w:t>requested MBR within the "reqMbrDl" attribute and/or "reqMbrUl" attribute;</w:t>
      </w:r>
    </w:p>
    <w:p>
      <w:pPr>
        <w:pStyle w:val="127"/>
      </w:pPr>
      <w:r>
        <w:t>-</w:t>
      </w:r>
      <w:r>
        <w:tab/>
      </w:r>
      <w:r>
        <w:t>the maximum burst size within the "maxTscBurstSize" attribute;</w:t>
      </w:r>
    </w:p>
    <w:p>
      <w:pPr>
        <w:pStyle w:val="127"/>
      </w:pPr>
      <w:r>
        <w:t>-</w:t>
      </w:r>
      <w:r>
        <w:tab/>
      </w:r>
      <w:r>
        <w:t>the priority within the "priority" attribute;</w:t>
      </w:r>
    </w:p>
    <w:p>
      <w:pPr>
        <w:pStyle w:val="127"/>
      </w:pPr>
      <w:r>
        <w:t>-</w:t>
      </w:r>
      <w:r>
        <w:tab/>
      </w:r>
      <w:r>
        <w:t>the requested 5GS delay within the "req5Gsdelay" attribute; and</w:t>
      </w:r>
    </w:p>
    <w:p>
      <w:pPr>
        <w:pStyle w:val="127"/>
      </w:pPr>
      <w:r>
        <w:t>-</w:t>
      </w:r>
      <w:r>
        <w:tab/>
      </w:r>
      <w:r>
        <w:t>the requested packet error rate within the "reqPer" attribute, if the "ExtQoS_5G" feature is also supported.</w:t>
      </w:r>
    </w:p>
    <w:p>
      <w:pPr>
        <w:pStyle w:val="124"/>
        <w:rPr>
          <w:lang w:eastAsia="zh-CN"/>
        </w:rPr>
      </w:pPr>
      <w:r>
        <w:rPr>
          <w:lang w:eastAsia="zh-CN"/>
        </w:rPr>
        <w:tab/>
      </w:r>
      <w:r>
        <w:rPr>
          <w:lang w:eastAsia="zh-CN"/>
        </w:rPr>
        <w: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Pr>
          <w:lang w:val="en-US" w:eastAsia="zh-CN"/>
        </w:rPr>
        <w:t>SLA between operator and application provider</w:t>
      </w:r>
      <w:r>
        <w:rPr>
          <w:lang w:eastAsia="zh-CN"/>
        </w:rPr>
        <w:t xml:space="preserve">. A TSCTSF address may be locally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the NEF shall </w:t>
      </w:r>
      <w:r>
        <w:rPr>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pPr>
        <w:pStyle w:val="105"/>
        <w:rPr>
          <w:lang w:eastAsia="zh-CN"/>
        </w:rPr>
      </w:pPr>
      <w:r>
        <w:rPr>
          <w:lang w:eastAsia="en-GB"/>
        </w:rPr>
        <w:t>NOTE 3:</w:t>
      </w:r>
      <w:r>
        <w:rPr>
          <w:lang w:eastAsia="en-GB"/>
        </w:rPr>
        <w:tab/>
      </w:r>
      <w:r>
        <w:rPr>
          <w:lang w:eastAsia="en-GB"/>
        </w:rPr>
        <w:t>The NEF can determine whether the TSCTSF needs to be involved based on the DNN/S-NSSAI for the AF session according to the SLA.</w:t>
      </w:r>
    </w:p>
    <w:p>
      <w:pPr>
        <w:pStyle w:val="124"/>
        <w:rPr>
          <w:lang w:eastAsia="zh-CN"/>
        </w:rPr>
      </w:pPr>
      <w:r>
        <w:rPr>
          <w:lang w:eastAsia="zh-CN"/>
        </w:rPr>
        <w:tab/>
      </w:r>
      <w:r>
        <w:rPr>
          <w:lang w:eastAsia="zh-CN"/>
        </w:rPr>
        <w:t xml:space="preserve">If the </w:t>
      </w:r>
      <w:r>
        <w:t>"</w:t>
      </w:r>
      <w:r>
        <w:rPr>
          <w:lang w:eastAsia="zh-CN"/>
        </w:rPr>
        <w:t>EnTSCAC</w:t>
      </w:r>
      <w:r>
        <w:t>"</w:t>
      </w:r>
      <w:r>
        <w:rPr>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Pr>
          <w:lang w:eastAsia="zh-CN"/>
        </w:rPr>
        <w:t>within the "batOffsetInfo" attribute.</w:t>
      </w:r>
    </w:p>
    <w:p>
      <w:pPr>
        <w:pStyle w:val="124"/>
      </w:pPr>
      <w:r>
        <w:t>-</w:t>
      </w:r>
      <w:r>
        <w:tab/>
      </w:r>
      <w:r>
        <w:t>if the "</w:t>
      </w:r>
      <w:r>
        <w:rPr>
          <w:rFonts w:cs="Arial"/>
        </w:rPr>
        <w:t>AltQosWithIndParams_5G</w:t>
      </w:r>
      <w:r>
        <w:t xml:space="preserve">" feature is supported, the AF may </w:t>
      </w:r>
      <w:r>
        <w:rPr>
          <w:lang w:eastAsia="zh-CN"/>
        </w:rPr>
        <w:t>include:</w:t>
      </w:r>
    </w:p>
    <w:p>
      <w:pPr>
        <w:pStyle w:val="125"/>
      </w:pPr>
      <w:r>
        <w:t>-</w:t>
      </w:r>
      <w:r>
        <w:tab/>
      </w:r>
      <w:r>
        <w:t xml:space="preserve">an ordered list of alternative </w:t>
      </w:r>
      <w:r>
        <w:rPr>
          <w:rFonts w:eastAsia="Times New Roman"/>
          <w:lang w:val="en-US"/>
        </w:rPr>
        <w:t>service requirements that include individual QoS parameter sets</w:t>
      </w:r>
      <w:r>
        <w:t xml:space="preserve"> w</w:t>
      </w:r>
      <w:r>
        <w:rPr>
          <w:lang w:eastAsia="zh-CN"/>
        </w:rPr>
        <w:t>ithin the "altQosReqs"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 xml:space="preserve">. </w:t>
      </w:r>
      <w:r>
        <w:t xml:space="preserve">Within the </w:t>
      </w:r>
      <w:r>
        <w:rPr>
          <w:lang w:eastAsia="zh-CN"/>
        </w:rPr>
        <w:t>AlternativeServiceRequirementsData</w:t>
      </w:r>
      <w:r>
        <w:t xml:space="preserve"> data structure, the AF shall include:</w:t>
      </w:r>
    </w:p>
    <w:p>
      <w:pPr>
        <w:pStyle w:val="126"/>
      </w:pPr>
      <w:r>
        <w:t>-</w:t>
      </w:r>
      <w:r>
        <w:tab/>
      </w:r>
      <w:r>
        <w:rPr>
          <w:lang w:eastAsia="fr-FR"/>
        </w:rPr>
        <w:t>a reference to the alternative individual QoS related parameter(s) included in this set</w:t>
      </w:r>
      <w:r>
        <w:t xml:space="preserve"> within the "altQosParamSetRef" attribute; and</w:t>
      </w:r>
    </w:p>
    <w:p>
      <w:pPr>
        <w:pStyle w:val="126"/>
      </w:pPr>
      <w:r>
        <w:t>-</w:t>
      </w:r>
      <w:r>
        <w:tab/>
      </w:r>
      <w:r>
        <w:t>at least one of the following:</w:t>
      </w:r>
    </w:p>
    <w:p>
      <w:pPr>
        <w:pStyle w:val="127"/>
      </w:pPr>
      <w:r>
        <w:t>-</w:t>
      </w:r>
      <w:r>
        <w:tab/>
      </w:r>
      <w:r>
        <w:t>The guaranteed bandwidth in uplink within the "gbrUl" attribute and the guaranteed bandwidth in downlink within the "gbrDl" attribute;</w:t>
      </w:r>
    </w:p>
    <w:p>
      <w:pPr>
        <w:pStyle w:val="127"/>
      </w:pPr>
      <w:r>
        <w:t>-</w:t>
      </w:r>
      <w:r>
        <w:tab/>
      </w:r>
      <w:r>
        <w:t>The requested packet delay budget within the "</w:t>
      </w:r>
      <w:r>
        <w:rPr>
          <w:szCs w:val="18"/>
          <w:lang w:eastAsia="zh-CN"/>
        </w:rPr>
        <w:t>pdb</w:t>
      </w:r>
      <w:r>
        <w:t>" attribute;</w:t>
      </w:r>
    </w:p>
    <w:p>
      <w:pPr>
        <w:pStyle w:val="127"/>
      </w:pPr>
      <w:r>
        <w:t>-</w:t>
      </w:r>
      <w:r>
        <w:tab/>
      </w:r>
      <w:r>
        <w:t>The requested packet error rate within the "</w:t>
      </w:r>
      <w:r>
        <w:rPr>
          <w:szCs w:val="18"/>
          <w:lang w:eastAsia="zh-CN"/>
        </w:rPr>
        <w:t>per</w:t>
      </w:r>
      <w:r>
        <w:t>" attribute if the "</w:t>
      </w:r>
      <w:r>
        <w:rPr>
          <w:rFonts w:cs="Arial"/>
          <w:szCs w:val="18"/>
        </w:rPr>
        <w:t>ExtQoS_5G</w:t>
      </w:r>
      <w:r>
        <w:t>" feature is supported;</w:t>
      </w:r>
    </w:p>
    <w:p>
      <w:pPr>
        <w:pStyle w:val="124"/>
        <w:rPr>
          <w:lang w:eastAsia="zh-CN"/>
        </w:rPr>
      </w:pPr>
      <w:r>
        <w:tab/>
      </w:r>
      <w:r>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r>
        <w:rPr>
          <w:lang w:eastAsia="zh-CN"/>
        </w:rPr>
        <w:t>appliedQosRef</w:t>
      </w:r>
      <w:r>
        <w:t>" attribute</w:t>
      </w:r>
      <w:r>
        <w:rPr>
          <w:lang w:eastAsia="zh-CN"/>
        </w:rPr>
        <w:t xml:space="preserve"> if received. </w:t>
      </w:r>
      <w:r>
        <w:t xml:space="preserve">If the NEF </w:t>
      </w:r>
      <w:r>
        <w:rPr>
          <w:lang w:eastAsia="zh-CN"/>
        </w:rPr>
        <w:t>directly contacts the PCF</w:t>
      </w:r>
      <w:r>
        <w:t xml:space="preserve"> while the NEF determined to invoke the TSCTSF when authorizing the update request, the NEF shall </w:t>
      </w:r>
      <w:r>
        <w:rPr>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pPr>
        <w:pStyle w:val="105"/>
        <w:rPr>
          <w:lang w:eastAsia="zh-CN"/>
        </w:rPr>
      </w:pPr>
      <w:r>
        <w:rPr>
          <w:lang w:eastAsia="en-GB"/>
        </w:rPr>
        <w:t>NOTE 4:</w:t>
      </w:r>
      <w:r>
        <w:rPr>
          <w:lang w:eastAsia="en-GB"/>
        </w:rPr>
        <w:tab/>
      </w:r>
      <w:r>
        <w:rPr>
          <w:lang w:eastAsia="en-GB"/>
        </w:rPr>
        <w:t>The NEF can determine whether the TSCTSF needs to be involved based on the DNN/S-NSSAI for the AF session according to the SLA.</w:t>
      </w:r>
    </w:p>
    <w:p>
      <w:pPr>
        <w:pStyle w:val="124"/>
        <w:rPr>
          <w:lang w:eastAsia="zh-CN"/>
        </w:rPr>
      </w:pPr>
      <w:r>
        <w:rPr>
          <w:lang w:eastAsia="zh-CN"/>
        </w:rPr>
        <w:tab/>
      </w:r>
      <w:r>
        <w:rPr>
          <w:lang w:eastAsia="zh-CN"/>
        </w:rPr>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pPr>
        <w:pStyle w:val="124"/>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pPr>
        <w:pStyle w:val="124"/>
      </w:pPr>
      <w:r>
        <w:t>-</w:t>
      </w:r>
      <w:r>
        <w:tab/>
      </w:r>
      <w:r>
        <w:t xml:space="preserve">If the "enNB_5G" feature is supported,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pPr>
        <w:pStyle w:val="124"/>
      </w:pPr>
      <w:r>
        <w:t>-</w:t>
      </w:r>
      <w:r>
        <w:tab/>
      </w:r>
      <w:r>
        <w:t xml:space="preserve">if the ToSTC_5G feature </w:t>
      </w:r>
      <w:r>
        <w:rPr>
          <w:lang w:eastAsia="zh-CN"/>
        </w:rPr>
        <w:t>as defined in clause</w:t>
      </w:r>
      <w:r>
        <w:rPr>
          <w:lang w:val="en-US" w:eastAsia="zh-CN"/>
        </w:rPr>
        <w:t xml:space="preserve"> 5.14.4 of 3GPP TS 29.122 [4] </w:t>
      </w:r>
      <w:r>
        <w:t>is supported,</w:t>
      </w:r>
    </w:p>
    <w:p>
      <w:pPr>
        <w:pStyle w:val="125"/>
      </w:pPr>
      <w:r>
        <w:t>-</w:t>
      </w:r>
      <w:r>
        <w:tab/>
      </w:r>
      <w:r>
        <w:t>in the HTTP POST request, the AF may include the "tosTC" attribute within the "flowInfo" attribute of the AsSessionWithQoSSubscription data type.</w:t>
      </w:r>
    </w:p>
    <w:p>
      <w:pPr>
        <w:pStyle w:val="125"/>
      </w:pPr>
      <w:r>
        <w:t>-</w:t>
      </w:r>
      <w:r>
        <w:tab/>
      </w:r>
      <w:r>
        <w:t>in the HTTP PATCH request, the AF may include the "tosTC" attribute within the "flowInfo" attribute of the AsSessionWithQoSSubscriptionPatch data type.</w:t>
      </w:r>
    </w:p>
    <w:p>
      <w:pPr>
        <w:pStyle w:val="124"/>
        <w:rPr>
          <w:lang w:eastAsia="zh-CN"/>
        </w:rPr>
      </w:pPr>
      <w:r>
        <w:t>-</w:t>
      </w:r>
      <w:r>
        <w:tab/>
      </w:r>
      <w:r>
        <w:t>if the "</w:t>
      </w:r>
      <w:r>
        <w:rPr>
          <w:rFonts w:cs="Arial"/>
          <w:szCs w:val="18"/>
          <w:lang w:eastAsia="zh-CN"/>
        </w:rPr>
        <w:t>XRM_5G</w:t>
      </w:r>
      <w:r>
        <w:t xml:space="preserve">" feature is supported, the AF may </w:t>
      </w:r>
      <w:r>
        <w:rPr>
          <w:lang w:eastAsia="zh-CN"/>
        </w:rPr>
        <w:t>include:</w:t>
      </w:r>
    </w:p>
    <w:p>
      <w:pPr>
        <w:pStyle w:val="125"/>
      </w:pPr>
      <w:r>
        <w:rPr>
          <w:lang w:eastAsia="zh-CN"/>
        </w:rPr>
        <w:t>-</w:t>
      </w:r>
      <w:r>
        <w:rPr>
          <w:lang w:eastAsia="zh-CN"/>
        </w:rPr>
        <w:tab/>
      </w:r>
      <w:r>
        <w:t>the Multi-Modal Service ID within the "multiModalId" attribute.</w:t>
      </w:r>
    </w:p>
    <w:p>
      <w:pPr>
        <w:pStyle w:val="125"/>
        <w:rPr>
          <w:ins w:id="0" w:author="CMCC" w:date="2023-08-12T22:50:07Z"/>
        </w:rPr>
      </w:pPr>
      <w:r>
        <w:t>-</w:t>
      </w:r>
      <w:r>
        <w:tab/>
      </w:r>
      <w:r>
        <w:t>the Uplink and/or Downlink Periodicity information which indicates the time period between the start of the two data bursts in Uplink and/or Downlink direction within the "periodInfo" attribute;</w:t>
      </w:r>
    </w:p>
    <w:p>
      <w:pPr>
        <w:pStyle w:val="125"/>
      </w:pPr>
      <w:ins w:id="1" w:author="CMCC" w:date="2023-08-12T22:50:08Z">
        <w:r>
          <w:rPr>
            <w:lang w:eastAsia="zh-CN"/>
          </w:rPr>
          <w:t>-</w:t>
        </w:r>
      </w:ins>
      <w:ins w:id="2" w:author="CMCC" w:date="2023-08-12T22:50:08Z">
        <w:r>
          <w:rPr>
            <w:lang w:eastAsia="zh-CN"/>
          </w:rPr>
          <w:tab/>
        </w:r>
      </w:ins>
      <w:ins w:id="3" w:author="CMCC" w:date="2023-08-12T22:50:08Z">
        <w:r>
          <w:rPr/>
          <w:t>the protocol description within the "</w:t>
        </w:r>
      </w:ins>
      <w:ins w:id="4" w:author="CMCC" w:date="2023-08-12T23:20:45Z">
        <w:bookmarkStart w:id="11" w:name="OLE_LINK4"/>
        <w:r>
          <w:rPr>
            <w:rFonts w:hint="eastAsia"/>
            <w:lang w:val="en-US" w:eastAsia="zh-CN"/>
          </w:rPr>
          <w:t>e</w:t>
        </w:r>
      </w:ins>
      <w:ins w:id="5" w:author="CMCC" w:date="2023-08-12T23:20:46Z">
        <w:r>
          <w:rPr>
            <w:rFonts w:hint="eastAsia"/>
            <w:lang w:val="en-US" w:eastAsia="zh-CN"/>
          </w:rPr>
          <w:t>nd</w:t>
        </w:r>
      </w:ins>
      <w:ins w:id="6" w:author="CMCC" w:date="2023-08-12T23:20:47Z">
        <w:r>
          <w:rPr>
            <w:rFonts w:hint="eastAsia"/>
            <w:lang w:val="en-US" w:eastAsia="zh-CN"/>
          </w:rPr>
          <w:t>D</w:t>
        </w:r>
      </w:ins>
      <w:ins w:id="7" w:author="CMCC" w:date="2023-08-12T22:53:57Z">
        <w:r>
          <w:rPr>
            <w:rFonts w:hint="eastAsia"/>
            <w:lang w:val="en-US" w:eastAsia="zh-CN"/>
          </w:rPr>
          <w:t>a</w:t>
        </w:r>
      </w:ins>
      <w:ins w:id="8" w:author="CMCC" w:date="2023-08-12T22:51:25Z">
        <w:r>
          <w:rPr>
            <w:rFonts w:hint="eastAsia"/>
            <w:lang w:val="en-US" w:eastAsia="zh-CN"/>
          </w:rPr>
          <w:t>ta</w:t>
        </w:r>
      </w:ins>
      <w:ins w:id="9" w:author="CMCC" w:date="2023-08-12T22:54:21Z">
        <w:r>
          <w:rPr>
            <w:rFonts w:hint="eastAsia"/>
            <w:lang w:val="en-US" w:eastAsia="zh-CN"/>
          </w:rPr>
          <w:t>B</w:t>
        </w:r>
      </w:ins>
      <w:ins w:id="10" w:author="CMCC" w:date="2023-08-12T22:54:22Z">
        <w:r>
          <w:rPr>
            <w:rFonts w:hint="eastAsia"/>
            <w:lang w:val="en-US" w:eastAsia="zh-CN"/>
          </w:rPr>
          <w:t>u</w:t>
        </w:r>
      </w:ins>
      <w:ins w:id="11" w:author="CMCC" w:date="2023-08-12T22:54:24Z">
        <w:r>
          <w:rPr>
            <w:rFonts w:hint="eastAsia"/>
            <w:lang w:val="en-US" w:eastAsia="zh-CN"/>
          </w:rPr>
          <w:t>rst</w:t>
        </w:r>
      </w:ins>
      <w:ins w:id="12" w:author="CMCC" w:date="2023-08-12T22:50:08Z">
        <w:r>
          <w:rPr/>
          <w:t>ProtDesc</w:t>
        </w:r>
        <w:bookmarkEnd w:id="11"/>
        <w:r>
          <w:rPr/>
          <w:t>" attribute. In case of the multiple flows, each flow will have the respective "</w:t>
        </w:r>
      </w:ins>
      <w:ins w:id="13" w:author="CMCC" w:date="2023-08-12T23:20:49Z">
        <w:r>
          <w:rPr>
            <w:rFonts w:hint="eastAsia"/>
            <w:lang w:val="en-US" w:eastAsia="zh-CN"/>
          </w:rPr>
          <w:t>end</w:t>
        </w:r>
      </w:ins>
      <w:ins w:id="14" w:author="CMCC" w:date="2023-08-12T23:21:07Z">
        <w:r>
          <w:rPr>
            <w:rFonts w:hint="eastAsia"/>
            <w:lang w:val="en-US" w:eastAsia="zh-CN"/>
          </w:rPr>
          <w:t>D</w:t>
        </w:r>
      </w:ins>
      <w:ins w:id="15" w:author="CMCC" w:date="2023-08-12T22:57:14Z">
        <w:r>
          <w:rPr>
            <w:rFonts w:hint="eastAsia"/>
            <w:lang w:val="en-US" w:eastAsia="zh-CN"/>
          </w:rPr>
          <w:t>ataBurst</w:t>
        </w:r>
      </w:ins>
      <w:ins w:id="16" w:author="CMCC" w:date="2023-08-12T22:57:14Z">
        <w:r>
          <w:rPr/>
          <w:t>ProtDesc</w:t>
        </w:r>
      </w:ins>
      <w:ins w:id="17" w:author="CMCC" w:date="2023-08-12T22:50:08Z">
        <w:r>
          <w:rPr/>
          <w:t>" attribute;</w:t>
        </w:r>
      </w:ins>
    </w:p>
    <w:p>
      <w:pPr>
        <w:pStyle w:val="125"/>
        <w:rPr>
          <w:lang w:eastAsia="zh-CN"/>
        </w:rPr>
      </w:pPr>
      <w:r>
        <w:rPr>
          <w:lang w:eastAsia="zh-CN"/>
        </w:rPr>
        <w:t>-</w:t>
      </w:r>
      <w:r>
        <w:rPr>
          <w:lang w:eastAsia="zh-CN"/>
        </w:rPr>
        <w:tab/>
      </w:r>
      <w:r>
        <w:rPr>
          <w:lang w:eastAsia="zh-CN"/>
        </w:rPr>
        <w:t>the requested Packet Delay Variation parameter(s) to be measured (i.e. DL, UL and/or round trip packet delay) within the "pdvReqMonParams" attribute;</w:t>
      </w:r>
    </w:p>
    <w:p>
      <w:pPr>
        <w:pStyle w:val="125"/>
      </w:pPr>
      <w:r>
        <w:rPr>
          <w:lang w:eastAsia="zh-CN"/>
        </w:rPr>
        <w:t>-</w:t>
      </w:r>
      <w:r>
        <w:tab/>
      </w:r>
      <w:r>
        <w:t>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w:t>
      </w:r>
    </w:p>
    <w:p>
      <w:pPr>
        <w:pStyle w:val="126"/>
      </w:pPr>
      <w:r>
        <w:rPr>
          <w:lang w:val="en-US" w:eastAsia="zh-CN"/>
        </w:rPr>
        <w:t>a)</w:t>
      </w:r>
      <w:r>
        <w:rPr>
          <w:lang w:val="en-US" w:eastAsia="zh-CN"/>
        </w:rPr>
        <w:tab/>
      </w:r>
      <w:r>
        <w:t>one or more report frequency within the "repFreqs" attribute;</w:t>
      </w:r>
    </w:p>
    <w:p>
      <w:pPr>
        <w:pStyle w:val="126"/>
      </w:pPr>
      <w:r>
        <w:t>b)</w:t>
      </w:r>
      <w:r>
        <w:tab/>
      </w:r>
      <w:r>
        <w:t>when the "repFreqs" attribute is set to the value "EVENT_TRIGGERED":</w:t>
      </w:r>
    </w:p>
    <w:p>
      <w:pPr>
        <w:pStyle w:val="127"/>
      </w:pPr>
      <w:r>
        <w:t>-</w:t>
      </w:r>
      <w:r>
        <w:tab/>
      </w:r>
      <w:r>
        <w:t>the delay threshold for downlink with the "repThreshDl" attribute;</w:t>
      </w:r>
    </w:p>
    <w:p>
      <w:pPr>
        <w:pStyle w:val="127"/>
      </w:pPr>
      <w:r>
        <w:t>-</w:t>
      </w:r>
      <w:r>
        <w:tab/>
      </w:r>
      <w:r>
        <w:t>the delay threshold for uplink with the "repThreshUl" attribute; and/or</w:t>
      </w:r>
    </w:p>
    <w:p>
      <w:pPr>
        <w:pStyle w:val="127"/>
      </w:pPr>
      <w:r>
        <w:t>-</w:t>
      </w:r>
      <w:r>
        <w:tab/>
      </w:r>
      <w:r>
        <w:t>the delay threshold for round trip with the "repThreshRp" attribute;</w:t>
      </w:r>
    </w:p>
    <w:p>
      <w:pPr>
        <w:pStyle w:val="126"/>
      </w:pPr>
      <w:r>
        <w:t>c)</w:t>
      </w:r>
      <w:r>
        <w:tab/>
      </w:r>
      <w:r>
        <w:t>when the "repFreqs" attribute is set to the value "PERIODIC", the periodic time for reporting and the maximum period with no packet delay variance measurement within the "</w:t>
      </w:r>
      <w:r>
        <w:rPr>
          <w:lang w:eastAsia="zh-CN"/>
        </w:rPr>
        <w:t>repPeriod" attribute</w:t>
      </w:r>
      <w:r>
        <w:t>; and</w:t>
      </w:r>
    </w:p>
    <w:p>
      <w:pPr>
        <w:pStyle w:val="126"/>
        <w:rPr>
          <w:lang w:eastAsia="zh-CN"/>
        </w:rPr>
      </w:pPr>
      <w:r>
        <w:t>d)</w:t>
      </w:r>
      <w:r>
        <w:tab/>
      </w:r>
      <w:r>
        <w:t>when the "repFreqs" attribute is set to the value "EVENT_DETECTION", the minimum waiting time between subsequent reports within the "</w:t>
      </w:r>
      <w:r>
        <w:rPr>
          <w:lang w:eastAsia="zh-CN"/>
        </w:rPr>
        <w:t xml:space="preserve">waitTime" attribute and </w:t>
      </w:r>
      <w:r>
        <w:t>the maximum period with no packet delay variation within the "</w:t>
      </w:r>
      <w:r>
        <w:rPr>
          <w:lang w:eastAsia="zh-CN"/>
        </w:rPr>
        <w:t>repPeriod" attribute</w:t>
      </w:r>
      <w:r>
        <w:t>;</w:t>
      </w:r>
    </w:p>
    <w:p>
      <w:pPr>
        <w:pStyle w:val="125"/>
      </w:pPr>
      <w:r>
        <w:t>-</w:t>
      </w:r>
      <w:r>
        <w:tab/>
      </w:r>
      <w:r>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pPr>
        <w:pStyle w:val="126"/>
      </w:pPr>
      <w:r>
        <w:t>a)</w:t>
      </w:r>
      <w:r>
        <w:tab/>
      </w:r>
      <w:r>
        <w:t>the identification of the affected service flows (if not all the flows are affected) encoded in the "flows" attribute if applicable; and</w:t>
      </w:r>
    </w:p>
    <w:p>
      <w:pPr>
        <w:pStyle w:val="126"/>
      </w:pPr>
      <w:r>
        <w:t>b)</w:t>
      </w:r>
      <w:r>
        <w:tab/>
      </w:r>
      <w:r>
        <w:t>one or two uplink packet delay variation measurement(s) within the "ulDelays" attribute;</w:t>
      </w:r>
    </w:p>
    <w:p>
      <w:pPr>
        <w:pStyle w:val="126"/>
      </w:pPr>
      <w:r>
        <w:t>c)</w:t>
      </w:r>
      <w:r>
        <w:tab/>
      </w:r>
      <w:r>
        <w:t>one or two downlink packet delay variation measurement(s) within the "dlDelays" attribute; and/or</w:t>
      </w:r>
    </w:p>
    <w:p>
      <w:pPr>
        <w:pStyle w:val="126"/>
      </w:pPr>
      <w:r>
        <w:t>d)</w:t>
      </w:r>
      <w:r>
        <w:tab/>
      </w:r>
      <w:r>
        <w:t>one or two round trip packet delay variation measurement(s) within the "rtDelays" attribute;</w:t>
      </w:r>
    </w:p>
    <w:p>
      <w:pPr>
        <w:pStyle w:val="125"/>
        <w:rPr>
          <w:lang w:eastAsia="zh-CN"/>
        </w:rPr>
      </w:pPr>
      <w:r>
        <w:rPr>
          <w:lang w:eastAsia="zh-CN"/>
        </w:rPr>
        <w:t>-</w:t>
      </w:r>
      <w:r>
        <w:rPr>
          <w:lang w:eastAsia="zh-CN"/>
        </w:rPr>
        <w:tab/>
      </w:r>
      <w:r>
        <w:t xml:space="preserve">the multi-modal data flow(s) information of the multimodal service </w:t>
      </w:r>
      <w:r>
        <w:rPr>
          <w:lang w:eastAsia="zh-CN"/>
        </w:rPr>
        <w:t>in the "multiModDatFlows" attribute. T</w:t>
      </w:r>
      <w:r>
        <w:t>he AF shall include for each single-modal data flow(s) of the multimodal service:</w:t>
      </w:r>
    </w:p>
    <w:p>
      <w:pPr>
        <w:pStyle w:val="126"/>
      </w:pPr>
      <w:r>
        <w:t>1.</w:t>
      </w:r>
      <w:r>
        <w:tab/>
      </w:r>
      <w:r>
        <w:t xml:space="preserve">the single-modal data identification number within the </w:t>
      </w:r>
      <w:r>
        <w:rPr>
          <w:lang w:eastAsia="zh-CN"/>
        </w:rPr>
        <w:t>"</w:t>
      </w:r>
      <w:r>
        <w:t>medCompN</w:t>
      </w:r>
      <w:r>
        <w:rPr>
          <w:lang w:eastAsia="zh-CN"/>
        </w:rPr>
        <w:t>"</w:t>
      </w:r>
      <w:r>
        <w:t xml:space="preserve"> attribute;</w:t>
      </w:r>
    </w:p>
    <w:p>
      <w:pPr>
        <w:pStyle w:val="126"/>
      </w:pPr>
      <w:r>
        <w:t>2.</w:t>
      </w:r>
      <w:r>
        <w:tab/>
      </w:r>
      <w:r>
        <w:t xml:space="preserve">the IP data flow(s) description for the single-modal data flow within the </w:t>
      </w:r>
      <w:r>
        <w:rPr>
          <w:lang w:eastAsia="zh-CN"/>
        </w:rPr>
        <w:t>"</w:t>
      </w:r>
      <w:r>
        <w:t>flowInfos</w:t>
      </w:r>
      <w:r>
        <w:rPr>
          <w:lang w:eastAsia="zh-CN"/>
        </w:rPr>
        <w:t>"</w:t>
      </w:r>
      <w:r>
        <w:t xml:space="preserve"> </w:t>
      </w:r>
      <w:r>
        <w:rPr>
          <w:lang w:eastAsia="zh-CN"/>
        </w:rPr>
        <w:t>attribute</w:t>
      </w:r>
      <w:r>
        <w:t>; and</w:t>
      </w:r>
    </w:p>
    <w:p>
      <w:pPr>
        <w:pStyle w:val="126"/>
        <w:rPr>
          <w:lang w:eastAsia="zh-CN"/>
        </w:rPr>
      </w:pPr>
      <w:r>
        <w:rPr>
          <w:lang w:eastAsia="zh-CN"/>
        </w:rPr>
        <w:t>3.</w:t>
      </w:r>
      <w:r>
        <w:rPr>
          <w:lang w:eastAsia="zh-CN"/>
        </w:rPr>
        <w:tab/>
      </w:r>
      <w:r>
        <w:rPr>
          <w:lang w:eastAsia="zh-CN"/>
        </w:rPr>
        <w:t>the parameters that describe the requested QoS for the single-modal data flow, as follows:</w:t>
      </w:r>
    </w:p>
    <w:p>
      <w:pPr>
        <w:pStyle w:val="127"/>
      </w:pPr>
      <w:r>
        <w:t>a.</w:t>
      </w:r>
      <w:r>
        <w:tab/>
      </w:r>
      <w:r>
        <w:t xml:space="preserve">the single-modal data flow type within the </w:t>
      </w:r>
      <w:r>
        <w:rPr>
          <w:lang w:eastAsia="zh-CN"/>
        </w:rPr>
        <w:t>"</w:t>
      </w:r>
      <w:r>
        <w:t>medType</w:t>
      </w:r>
      <w:r>
        <w:rPr>
          <w:lang w:eastAsia="zh-CN"/>
        </w:rPr>
        <w:t>"</w:t>
      </w:r>
      <w:r>
        <w:t xml:space="preserve"> attribute, if applicable;</w:t>
      </w:r>
    </w:p>
    <w:p>
      <w:pPr>
        <w:pStyle w:val="127"/>
      </w:pPr>
      <w:r>
        <w:t>b.</w:t>
      </w:r>
      <w:r>
        <w:tab/>
      </w:r>
      <w:r>
        <w:t xml:space="preserve">either a reference to a pre-defined QoS information for the single-modal data flow within the </w:t>
      </w:r>
      <w:r>
        <w:rPr>
          <w:lang w:eastAsia="zh-CN"/>
        </w:rPr>
        <w:t>"</w:t>
      </w:r>
      <w:r>
        <w:t>qosReference</w:t>
      </w:r>
      <w:r>
        <w:rPr>
          <w:lang w:eastAsia="zh-CN"/>
        </w:rPr>
        <w:t>"</w:t>
      </w:r>
      <w:r>
        <w:t xml:space="preserve"> attribute, or individual QoS parameters within the "tsnQos" attribute;</w:t>
      </w:r>
    </w:p>
    <w:p>
      <w:pPr>
        <w:pStyle w:val="127"/>
      </w:pPr>
      <w:r>
        <w:t>c.</w:t>
      </w:r>
      <w:r>
        <w:tab/>
      </w:r>
      <w:r>
        <w:t xml:space="preserve">if individual QoS parameters are provided, an ordered list of alternative service requirements for the single-modal data flow within the </w:t>
      </w:r>
      <w:r>
        <w:rPr>
          <w:lang w:eastAsia="zh-CN"/>
        </w:rPr>
        <w:t>"</w:t>
      </w:r>
      <w:r>
        <w:t>altSerReqsData</w:t>
      </w:r>
      <w:r>
        <w:rPr>
          <w:lang w:eastAsia="zh-CN"/>
        </w:rPr>
        <w:t>"</w:t>
      </w:r>
      <w:r>
        <w:t xml:space="preserve"> attribute, if applicable;</w:t>
      </w:r>
    </w:p>
    <w:p>
      <w:pPr>
        <w:pStyle w:val="127"/>
      </w:pPr>
      <w:r>
        <w:t>d.</w:t>
      </w:r>
      <w:r>
        <w:tab/>
      </w:r>
      <w:r>
        <w:t>if a reference to pre-defined QoS information is provided, an ordered list of QoS references for the single-modal data flow within the "altSerReqs" attribute, if applicable;</w:t>
      </w:r>
    </w:p>
    <w:p>
      <w:pPr>
        <w:pStyle w:val="127"/>
      </w:pPr>
      <w:r>
        <w:t>e.</w:t>
      </w:r>
      <w:r>
        <w:tab/>
      </w:r>
      <w:r>
        <w:t>QoS assistance information for the UL and/or DL for the single-modal data flow within the "tscaiInputUl" and/or "tscaiInputDl" attribute, if applicable;</w:t>
      </w:r>
    </w:p>
    <w:p>
      <w:pPr>
        <w:pStyle w:val="127"/>
      </w:pPr>
      <w:r>
        <w:t>f.</w:t>
      </w:r>
      <w:r>
        <w:tab/>
      </w:r>
      <w:r>
        <w:t>an indication of whether UL-DL transmission adjustments to meet the RT Latency applies to the single-modal data flow within the "rTLatencyReq" attribute, if applicable; and</w:t>
      </w:r>
    </w:p>
    <w:p>
      <w:pPr>
        <w:pStyle w:val="127"/>
      </w:pPr>
      <w:r>
        <w:t>f.</w:t>
      </w:r>
      <w:r>
        <w:tab/>
      </w:r>
      <w:r>
        <w:t>PDU Set QoS information for the single-modal data flow within the "pduSetQos" attribute, if applicable;</w:t>
      </w:r>
    </w:p>
    <w:p>
      <w:pPr>
        <w:pStyle w:val="125"/>
      </w:pPr>
      <w:r>
        <w:rPr>
          <w:lang w:eastAsia="zh-CN"/>
        </w:rPr>
        <w:t>-</w:t>
      </w:r>
      <w:r>
        <w:rPr>
          <w:lang w:eastAsia="zh-CN"/>
        </w:rPr>
        <w:tab/>
      </w:r>
      <w:r>
        <w:rPr>
          <w:lang w:eastAsia="zh-CN"/>
        </w:rPr>
        <w:t xml:space="preserve">the indication that </w:t>
      </w:r>
      <w:r>
        <w:t>the service data flow needs to meet the Round-Trip (RT) latency requirement within the "</w:t>
      </w:r>
      <w:r>
        <w:rPr>
          <w:rFonts w:hint="eastAsia"/>
          <w:lang w:eastAsia="zh-CN"/>
        </w:rPr>
        <w:t>r</w:t>
      </w:r>
      <w:r>
        <w:rPr>
          <w:lang w:eastAsia="zh-CN"/>
        </w:rPr>
        <w:t>TLatencyInd</w:t>
      </w:r>
      <w:r>
        <w:t>" attribute;</w:t>
      </w:r>
    </w:p>
    <w:p>
      <w:pPr>
        <w:pStyle w:val="105"/>
      </w:pPr>
      <w:r>
        <w:t>NOTE</w:t>
      </w:r>
      <w:r>
        <w:rPr>
          <w:lang w:val="en-US" w:eastAsia="zh-CN"/>
        </w:rPr>
        <w:t> 5:</w:t>
      </w:r>
      <w:r>
        <w:rPr>
          <w:lang w:val="en-US" w:eastAsia="zh-CN"/>
        </w:rPr>
        <w:tab/>
      </w:r>
      <w:r>
        <w:rPr>
          <w:lang w:val="en-US" w:eastAsia="zh-CN"/>
        </w:rPr>
        <w:t xml:space="preserve">The single direction latency requirement between the UE and the PSA UPF can be either explicitly included within the </w:t>
      </w:r>
      <w:r>
        <w:t xml:space="preserve">"req5Gsdelay" attribute or can be derived from the </w:t>
      </w:r>
      <w:r>
        <w:rPr>
          <w:lang w:eastAsia="zh-CN"/>
        </w:rPr>
        <w:t>"qosReference" attribute. The twice of the single direction latency is used as the Uplink-Downlink Round Trip latency of the indicated service.</w:t>
      </w:r>
    </w:p>
    <w:p>
      <w:pPr>
        <w:pStyle w:val="123"/>
      </w:pPr>
      <w:r>
        <w:t>Editor's note:</w:t>
      </w:r>
      <w:r>
        <w:tab/>
      </w:r>
      <w:r>
        <w:t>Whether an independent feature for RT latency is needed is FFS.</w:t>
      </w:r>
    </w:p>
    <w:p>
      <w:pPr>
        <w:keepLines/>
        <w:ind w:left="1135" w:hanging="851"/>
        <w:rPr>
          <w:rFonts w:eastAsia="Times New Roman"/>
          <w:color w:val="FF0000"/>
        </w:rPr>
      </w:pPr>
      <w:r>
        <w:rPr>
          <w:rFonts w:eastAsia="Times New Roman"/>
          <w:color w:val="FF0000"/>
        </w:rPr>
        <w:t>Editor’s note: It is FFS whether other IEs within the "tscQosReq" attribute than "req5Gsdealy" attribute can apply for multi-modal communication services.</w:t>
      </w:r>
    </w:p>
    <w:p>
      <w:pPr>
        <w:pStyle w:val="105"/>
      </w:pPr>
      <w:r>
        <w:t>NOTE</w:t>
      </w:r>
      <w:r>
        <w:rPr>
          <w:lang w:val="en-US" w:eastAsia="zh-CN"/>
        </w:rPr>
        <w:t> 6</w:t>
      </w:r>
      <w:r>
        <w:t>:</w:t>
      </w:r>
      <w:r>
        <w:tab/>
      </w:r>
      <w:r>
        <w:t>For multi-modal communication servicesrelated to multiple UEs, multiple UE-specific AF requests are used, and the AF provided information to NEF is the same as single UE case. For the single UE case, the AF can provide the multiple single-modal data flows of the multi-modal communication service via single or multiple AF requests.</w:t>
      </w:r>
    </w:p>
    <w:p>
      <w:pPr>
        <w:pStyle w:val="125"/>
        <w:rPr>
          <w:rFonts w:eastAsia="等线"/>
        </w:rPr>
      </w:pPr>
      <w:r>
        <w:tab/>
      </w:r>
      <w:r>
        <w:t>If the NEF authorizes the AF request, the NEF shall transfer the received Multi-modal service ID and, if applicable, the single-modal data flow(s) information of the multi-modal communication service to the PCF via the Npcf_PolicyAuthorization service.</w:t>
      </w:r>
    </w:p>
    <w:p>
      <w:pPr>
        <w:pStyle w:val="125"/>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pPr>
        <w:pStyle w:val="125"/>
      </w:pPr>
      <w:bookmarkStart w:id="12" w:name="OLE_LINK2"/>
      <w:r>
        <w:rPr>
          <w:lang w:eastAsia="zh-CN"/>
        </w:rPr>
        <w:t>-</w:t>
      </w:r>
      <w:r>
        <w:rPr>
          <w:lang w:eastAsia="zh-CN"/>
        </w:rPr>
        <w:tab/>
      </w:r>
      <w:r>
        <w:t>the protocol description within the "pduSetProtDesc" attribute. In case of the multiple flows, each flow will have the respective "pduSetProtDesc" attribute;</w:t>
      </w:r>
    </w:p>
    <w:bookmarkEnd w:id="12"/>
    <w:p>
      <w:pPr>
        <w:pStyle w:val="123"/>
      </w:pPr>
      <w:r>
        <w:t>Editor’s Note: XRM_5G feature name and granularity is FFS</w:t>
      </w:r>
    </w:p>
    <w:p>
      <w:pPr>
        <w:pStyle w:val="123"/>
      </w:pPr>
      <w:r>
        <w:t>Editor’s Note: The applicability of QoS monitoring to multi-modal communication services is FFS.</w:t>
      </w:r>
    </w:p>
    <w:p>
      <w:pPr>
        <w:pStyle w:val="123"/>
      </w:pPr>
      <w:r>
        <w:t>Editor’s Note: the list of IEs of a multimodal data flow to complete the QoS parameters developed for the media component in TS 29.514 and applicable to external AFs is FFS.</w:t>
      </w:r>
    </w:p>
    <w:p>
      <w:pPr>
        <w:pStyle w:val="125"/>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pPr>
        <w:pStyle w:val="125"/>
        <w:rPr>
          <w:rFonts w:eastAsia="等线"/>
        </w:rPr>
      </w:pPr>
      <w:r>
        <w:t>-</w:t>
      </w:r>
      <w:r>
        <w:tab/>
      </w:r>
      <w:r>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Pr>
          <w:rFonts w:eastAsia="等线"/>
        </w:rPr>
        <w:t xml:space="preserve">to support the PDU Set QoS configuration </w:t>
      </w:r>
      <w:r>
        <w:rPr>
          <w:lang w:eastAsia="zh-CN"/>
        </w:rPr>
        <w:t xml:space="preserve">by invoking the </w:t>
      </w:r>
      <w:r>
        <w:t>Npcf_PolicyAuthorization_Create service operation;</w:t>
      </w:r>
    </w:p>
    <w:p>
      <w:pPr>
        <w:pStyle w:val="124"/>
      </w:pPr>
      <w:r>
        <w:t>-</w:t>
      </w:r>
      <w:r>
        <w:tab/>
      </w:r>
      <w:r>
        <w:t xml:space="preserve">The NEF may send the following error responses based on failed request responses received from the 5GC (TSCTSF, as specified in 3GPP TS 29.565 [50], or PCF, as specified in </w:t>
      </w:r>
      <w:r>
        <w:rPr>
          <w:lang w:val="en-US" w:eastAsia="zh-CN"/>
        </w:rPr>
        <w:t>3GPP TS 29.514 [7]</w:t>
      </w:r>
      <w:r>
        <w:t>):</w:t>
      </w:r>
    </w:p>
    <w:p>
      <w:pPr>
        <w:pStyle w:val="125"/>
      </w:pPr>
      <w:r>
        <w:t>a.</w:t>
      </w:r>
      <w:r>
        <w:tab/>
      </w:r>
      <w:r>
        <w:t>If the NEF receives the indication that the 5GC failed in executing session binding, the NEF shall reject the HTTP POST request with an HTTP "500 Internal Server Error" response including the "cause" attribute set to "PDU_SESSION_NOT_AVAILABLE".</w:t>
      </w:r>
    </w:p>
    <w:p>
      <w:pPr>
        <w:pStyle w:val="125"/>
      </w:pPr>
      <w:r>
        <w:t>b.</w:t>
      </w:r>
      <w:r>
        <w:tab/>
      </w:r>
      <w:r>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pPr>
        <w:pStyle w:val="125"/>
      </w:pPr>
      <w:r>
        <w:t>c.</w:t>
      </w:r>
      <w:r>
        <w:tab/>
      </w:r>
      <w:r>
        <w:t xml:space="preserve">If the service information provided in the body of the HTTP POST/PUT/PATCH request is rejected due to a temporary condition in the network, the NEF may include in the </w:t>
      </w:r>
      <w:r>
        <w:rPr>
          <w:rStyle w:val="163"/>
        </w:rPr>
        <w:t xml:space="preserve">"403 Forbidden" </w:t>
      </w:r>
      <w: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pPr>
        <w:pStyle w:val="125"/>
      </w:pPr>
      <w:r>
        <w:rPr>
          <w:lang w:eastAsia="zh-CN"/>
        </w:rPr>
        <w:tab/>
      </w:r>
      <w:r>
        <w:rPr>
          <w:lang w:eastAsia="zh-CN"/>
        </w:rPr>
        <w:t xml:space="preserve">The NEF may additionally provide the acceptable bandwidth within the attribute </w:t>
      </w:r>
      <w:r>
        <w:t>"acceptableServInfo" included in the "ProblemDetailsAsSessionQos" data structure returned in the rejection response message.</w:t>
      </w:r>
    </w:p>
    <w:p>
      <w:pPr>
        <w:pStyle w:val="125"/>
      </w:pPr>
      <w:r>
        <w:t>d.</w:t>
      </w:r>
      <w:r>
        <w:tab/>
      </w:r>
      <w:r>
        <w:t>When the request to provision sponsored data connectivity information provided in the body of the HTTP POST/PUT/PATCH request is rejected, the NEF shall reject the request with the received status and error cause, as follows:</w:t>
      </w:r>
    </w:p>
    <w:p>
      <w:pPr>
        <w:pStyle w:val="126"/>
        <w:rPr>
          <w:lang w:eastAsia="zh-CN"/>
        </w:rPr>
      </w:pPr>
      <w:r>
        <w:t>1.</w:t>
      </w:r>
      <w:r>
        <w:tab/>
      </w:r>
      <w:r>
        <w:t xml:space="preserve">HTTP </w:t>
      </w:r>
      <w:r>
        <w:rPr>
          <w:rStyle w:val="163"/>
        </w:rPr>
        <w:t xml:space="preserve">"403 Forbidden" </w:t>
      </w:r>
      <w:r>
        <w:t xml:space="preserve">response message with the </w:t>
      </w:r>
      <w:r>
        <w:rPr>
          <w:rStyle w:val="163"/>
        </w:rPr>
        <w:t>"cause" attribute set to "UNAUTHORIZED_SPONSORED_DATA_CONNECTIVITY"</w:t>
      </w:r>
      <w:r>
        <w:t>.</w:t>
      </w:r>
    </w:p>
    <w:p>
      <w:pPr>
        <w:pStyle w:val="126"/>
      </w:pPr>
      <w:r>
        <w:rPr>
          <w:lang w:eastAsia="zh-CN"/>
        </w:rPr>
        <w:t>2.</w:t>
      </w:r>
      <w:r>
        <w:rPr>
          <w:lang w:eastAsia="zh-CN"/>
        </w:rPr>
        <w:tab/>
      </w:r>
      <w:r>
        <w:t xml:space="preserve">HTTP </w:t>
      </w:r>
      <w:r>
        <w:rPr>
          <w:rStyle w:val="163"/>
        </w:rPr>
        <w:t xml:space="preserve">"403 Forbidden" </w:t>
      </w:r>
      <w:r>
        <w:t xml:space="preserve">response message with the </w:t>
      </w:r>
      <w:r>
        <w:rPr>
          <w:rStyle w:val="163"/>
        </w:rPr>
        <w:t>"cause" attribute set to "REQUESTED_SERVICE_NOT_AUTHORIZED"</w:t>
      </w:r>
      <w:r>
        <w:t>.</w:t>
      </w:r>
    </w:p>
    <w:p/>
    <w:bookmarkEnd w:id="4"/>
    <w:p>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ＭＳ 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20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A63"/>
    <w:rsid w:val="00005821"/>
    <w:rsid w:val="00006D74"/>
    <w:rsid w:val="00022E4A"/>
    <w:rsid w:val="00027130"/>
    <w:rsid w:val="00042D34"/>
    <w:rsid w:val="00055F78"/>
    <w:rsid w:val="000739C4"/>
    <w:rsid w:val="00074235"/>
    <w:rsid w:val="00076534"/>
    <w:rsid w:val="000877DD"/>
    <w:rsid w:val="000A6394"/>
    <w:rsid w:val="000B6DCC"/>
    <w:rsid w:val="000B7FED"/>
    <w:rsid w:val="000C038A"/>
    <w:rsid w:val="000C3EBE"/>
    <w:rsid w:val="000C6598"/>
    <w:rsid w:val="000D44B3"/>
    <w:rsid w:val="001016E4"/>
    <w:rsid w:val="00103881"/>
    <w:rsid w:val="00104C4A"/>
    <w:rsid w:val="001066B8"/>
    <w:rsid w:val="001238ED"/>
    <w:rsid w:val="00123E54"/>
    <w:rsid w:val="00145D43"/>
    <w:rsid w:val="001461EC"/>
    <w:rsid w:val="00157E68"/>
    <w:rsid w:val="00163B91"/>
    <w:rsid w:val="00164DF6"/>
    <w:rsid w:val="001724B3"/>
    <w:rsid w:val="0017316E"/>
    <w:rsid w:val="00192C46"/>
    <w:rsid w:val="00196748"/>
    <w:rsid w:val="001A08B3"/>
    <w:rsid w:val="001A7B60"/>
    <w:rsid w:val="001B52F0"/>
    <w:rsid w:val="001B7A65"/>
    <w:rsid w:val="001C5D17"/>
    <w:rsid w:val="001C7818"/>
    <w:rsid w:val="001E0625"/>
    <w:rsid w:val="001E41F3"/>
    <w:rsid w:val="001E5F64"/>
    <w:rsid w:val="001F0CCA"/>
    <w:rsid w:val="00213BCA"/>
    <w:rsid w:val="0021507F"/>
    <w:rsid w:val="002260EE"/>
    <w:rsid w:val="0024104F"/>
    <w:rsid w:val="002437F7"/>
    <w:rsid w:val="002448E2"/>
    <w:rsid w:val="0026004D"/>
    <w:rsid w:val="002640DD"/>
    <w:rsid w:val="00275D12"/>
    <w:rsid w:val="00284FEB"/>
    <w:rsid w:val="002860C4"/>
    <w:rsid w:val="00295DB0"/>
    <w:rsid w:val="002A6CA0"/>
    <w:rsid w:val="002B5741"/>
    <w:rsid w:val="002D3DBB"/>
    <w:rsid w:val="002D6387"/>
    <w:rsid w:val="002E472E"/>
    <w:rsid w:val="00302FA0"/>
    <w:rsid w:val="00305409"/>
    <w:rsid w:val="0030697B"/>
    <w:rsid w:val="00307C7D"/>
    <w:rsid w:val="00312325"/>
    <w:rsid w:val="003160FE"/>
    <w:rsid w:val="003344AB"/>
    <w:rsid w:val="003550AB"/>
    <w:rsid w:val="003609EF"/>
    <w:rsid w:val="00361D94"/>
    <w:rsid w:val="0036231A"/>
    <w:rsid w:val="0036638B"/>
    <w:rsid w:val="00370B8F"/>
    <w:rsid w:val="00373330"/>
    <w:rsid w:val="00374DD4"/>
    <w:rsid w:val="00380E1F"/>
    <w:rsid w:val="003A42ED"/>
    <w:rsid w:val="003D1178"/>
    <w:rsid w:val="003D3126"/>
    <w:rsid w:val="003D4747"/>
    <w:rsid w:val="003E1A36"/>
    <w:rsid w:val="003E331A"/>
    <w:rsid w:val="003E3BD3"/>
    <w:rsid w:val="003F5B94"/>
    <w:rsid w:val="00407843"/>
    <w:rsid w:val="00407CF7"/>
    <w:rsid w:val="00410371"/>
    <w:rsid w:val="0041632C"/>
    <w:rsid w:val="004242F1"/>
    <w:rsid w:val="004309B9"/>
    <w:rsid w:val="00434438"/>
    <w:rsid w:val="00453FC3"/>
    <w:rsid w:val="00475A87"/>
    <w:rsid w:val="004A5AF3"/>
    <w:rsid w:val="004B2E4F"/>
    <w:rsid w:val="004B3A47"/>
    <w:rsid w:val="004B75B7"/>
    <w:rsid w:val="004C2D3B"/>
    <w:rsid w:val="004C402C"/>
    <w:rsid w:val="004C40F6"/>
    <w:rsid w:val="004C7CE2"/>
    <w:rsid w:val="004C7FC1"/>
    <w:rsid w:val="004D6E0C"/>
    <w:rsid w:val="004F342E"/>
    <w:rsid w:val="004F5489"/>
    <w:rsid w:val="0050501D"/>
    <w:rsid w:val="0050768F"/>
    <w:rsid w:val="0051016C"/>
    <w:rsid w:val="00512F96"/>
    <w:rsid w:val="005141D9"/>
    <w:rsid w:val="00514215"/>
    <w:rsid w:val="0051580D"/>
    <w:rsid w:val="0051640D"/>
    <w:rsid w:val="00520CB2"/>
    <w:rsid w:val="00527F62"/>
    <w:rsid w:val="005416A5"/>
    <w:rsid w:val="00547111"/>
    <w:rsid w:val="00550F28"/>
    <w:rsid w:val="005545BE"/>
    <w:rsid w:val="00566F50"/>
    <w:rsid w:val="00580039"/>
    <w:rsid w:val="00580341"/>
    <w:rsid w:val="0058756C"/>
    <w:rsid w:val="00592D74"/>
    <w:rsid w:val="00593444"/>
    <w:rsid w:val="00595265"/>
    <w:rsid w:val="00597E61"/>
    <w:rsid w:val="005A1F2D"/>
    <w:rsid w:val="005A5BD0"/>
    <w:rsid w:val="005A6B90"/>
    <w:rsid w:val="005B4530"/>
    <w:rsid w:val="005C2220"/>
    <w:rsid w:val="005C4062"/>
    <w:rsid w:val="005D6A74"/>
    <w:rsid w:val="005E2C44"/>
    <w:rsid w:val="005F226E"/>
    <w:rsid w:val="00602DF3"/>
    <w:rsid w:val="006033BD"/>
    <w:rsid w:val="006048B1"/>
    <w:rsid w:val="006152F6"/>
    <w:rsid w:val="0061728C"/>
    <w:rsid w:val="00621188"/>
    <w:rsid w:val="006257ED"/>
    <w:rsid w:val="006306DA"/>
    <w:rsid w:val="006400EE"/>
    <w:rsid w:val="0064053B"/>
    <w:rsid w:val="00640786"/>
    <w:rsid w:val="00653DE4"/>
    <w:rsid w:val="006546A3"/>
    <w:rsid w:val="00660355"/>
    <w:rsid w:val="0066465F"/>
    <w:rsid w:val="00665C47"/>
    <w:rsid w:val="00672D42"/>
    <w:rsid w:val="00681D12"/>
    <w:rsid w:val="00682755"/>
    <w:rsid w:val="006838AC"/>
    <w:rsid w:val="00683B50"/>
    <w:rsid w:val="00695808"/>
    <w:rsid w:val="006A492C"/>
    <w:rsid w:val="006A7F7A"/>
    <w:rsid w:val="006B46FB"/>
    <w:rsid w:val="006C26C0"/>
    <w:rsid w:val="006D3469"/>
    <w:rsid w:val="006E21FB"/>
    <w:rsid w:val="006F366C"/>
    <w:rsid w:val="006F53F7"/>
    <w:rsid w:val="006F5EE1"/>
    <w:rsid w:val="00704E14"/>
    <w:rsid w:val="007052E6"/>
    <w:rsid w:val="00715F78"/>
    <w:rsid w:val="00725D54"/>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F211C"/>
    <w:rsid w:val="007F7259"/>
    <w:rsid w:val="008040A8"/>
    <w:rsid w:val="00806990"/>
    <w:rsid w:val="008223DC"/>
    <w:rsid w:val="00823EAA"/>
    <w:rsid w:val="008279FA"/>
    <w:rsid w:val="00830BA4"/>
    <w:rsid w:val="008322D3"/>
    <w:rsid w:val="00854EB1"/>
    <w:rsid w:val="008626E7"/>
    <w:rsid w:val="008662B1"/>
    <w:rsid w:val="00870EE7"/>
    <w:rsid w:val="008770C0"/>
    <w:rsid w:val="008863B9"/>
    <w:rsid w:val="008A45A6"/>
    <w:rsid w:val="008C6A7A"/>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52DE2"/>
    <w:rsid w:val="00953866"/>
    <w:rsid w:val="009660DD"/>
    <w:rsid w:val="00972D1A"/>
    <w:rsid w:val="0097328D"/>
    <w:rsid w:val="009777D9"/>
    <w:rsid w:val="00986D0F"/>
    <w:rsid w:val="00990C2D"/>
    <w:rsid w:val="00991B88"/>
    <w:rsid w:val="0099304D"/>
    <w:rsid w:val="009A3360"/>
    <w:rsid w:val="009A40D9"/>
    <w:rsid w:val="009A5753"/>
    <w:rsid w:val="009A579D"/>
    <w:rsid w:val="009B6333"/>
    <w:rsid w:val="009B6344"/>
    <w:rsid w:val="009C281C"/>
    <w:rsid w:val="009C7AC8"/>
    <w:rsid w:val="009D29A1"/>
    <w:rsid w:val="009D3C49"/>
    <w:rsid w:val="009E3297"/>
    <w:rsid w:val="009F4DC9"/>
    <w:rsid w:val="009F734F"/>
    <w:rsid w:val="00A1484C"/>
    <w:rsid w:val="00A14C7B"/>
    <w:rsid w:val="00A246B6"/>
    <w:rsid w:val="00A32E22"/>
    <w:rsid w:val="00A460A6"/>
    <w:rsid w:val="00A47E70"/>
    <w:rsid w:val="00A50CF0"/>
    <w:rsid w:val="00A55C66"/>
    <w:rsid w:val="00A66B39"/>
    <w:rsid w:val="00A67E77"/>
    <w:rsid w:val="00A72E36"/>
    <w:rsid w:val="00A7671C"/>
    <w:rsid w:val="00A80994"/>
    <w:rsid w:val="00A90BC3"/>
    <w:rsid w:val="00A93F26"/>
    <w:rsid w:val="00A97BF9"/>
    <w:rsid w:val="00AA1719"/>
    <w:rsid w:val="00AA2CBC"/>
    <w:rsid w:val="00AA3D23"/>
    <w:rsid w:val="00AA583B"/>
    <w:rsid w:val="00AB13E9"/>
    <w:rsid w:val="00AC5820"/>
    <w:rsid w:val="00AC6D67"/>
    <w:rsid w:val="00AD1CD8"/>
    <w:rsid w:val="00AE5FE9"/>
    <w:rsid w:val="00AF36E8"/>
    <w:rsid w:val="00AF7F4E"/>
    <w:rsid w:val="00B00C78"/>
    <w:rsid w:val="00B154B0"/>
    <w:rsid w:val="00B1759F"/>
    <w:rsid w:val="00B258BB"/>
    <w:rsid w:val="00B35A56"/>
    <w:rsid w:val="00B37D1D"/>
    <w:rsid w:val="00B426E8"/>
    <w:rsid w:val="00B55D28"/>
    <w:rsid w:val="00B67B97"/>
    <w:rsid w:val="00B732FE"/>
    <w:rsid w:val="00B83E4D"/>
    <w:rsid w:val="00B853F9"/>
    <w:rsid w:val="00B90DF2"/>
    <w:rsid w:val="00B968C8"/>
    <w:rsid w:val="00BA3EC5"/>
    <w:rsid w:val="00BA508B"/>
    <w:rsid w:val="00BA51D9"/>
    <w:rsid w:val="00BB5DFC"/>
    <w:rsid w:val="00BC6CF4"/>
    <w:rsid w:val="00BD279D"/>
    <w:rsid w:val="00BD283F"/>
    <w:rsid w:val="00BD2A79"/>
    <w:rsid w:val="00BD6B5A"/>
    <w:rsid w:val="00BD6BB8"/>
    <w:rsid w:val="00BE0729"/>
    <w:rsid w:val="00BE3E08"/>
    <w:rsid w:val="00BF180D"/>
    <w:rsid w:val="00BF5A10"/>
    <w:rsid w:val="00C141EA"/>
    <w:rsid w:val="00C1478E"/>
    <w:rsid w:val="00C2161D"/>
    <w:rsid w:val="00C3432D"/>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102AF"/>
    <w:rsid w:val="00D24991"/>
    <w:rsid w:val="00D30624"/>
    <w:rsid w:val="00D32A11"/>
    <w:rsid w:val="00D366B0"/>
    <w:rsid w:val="00D432AB"/>
    <w:rsid w:val="00D45C1F"/>
    <w:rsid w:val="00D45ED8"/>
    <w:rsid w:val="00D50255"/>
    <w:rsid w:val="00D523FA"/>
    <w:rsid w:val="00D66520"/>
    <w:rsid w:val="00D836B4"/>
    <w:rsid w:val="00D84AE9"/>
    <w:rsid w:val="00D9756A"/>
    <w:rsid w:val="00DA6AEE"/>
    <w:rsid w:val="00DB24F4"/>
    <w:rsid w:val="00DC4BD4"/>
    <w:rsid w:val="00DE26B7"/>
    <w:rsid w:val="00DE34CF"/>
    <w:rsid w:val="00E01DCE"/>
    <w:rsid w:val="00E124FD"/>
    <w:rsid w:val="00E13494"/>
    <w:rsid w:val="00E13F3D"/>
    <w:rsid w:val="00E23CC3"/>
    <w:rsid w:val="00E2793B"/>
    <w:rsid w:val="00E27AE9"/>
    <w:rsid w:val="00E34898"/>
    <w:rsid w:val="00E36AF7"/>
    <w:rsid w:val="00E6028F"/>
    <w:rsid w:val="00E6750F"/>
    <w:rsid w:val="00E71F5F"/>
    <w:rsid w:val="00E77EF8"/>
    <w:rsid w:val="00E85DF2"/>
    <w:rsid w:val="00E915E8"/>
    <w:rsid w:val="00EB09B7"/>
    <w:rsid w:val="00EC3307"/>
    <w:rsid w:val="00ED0FFE"/>
    <w:rsid w:val="00EE4EA9"/>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D0988"/>
    <w:rsid w:val="00FD6BBB"/>
    <w:rsid w:val="00FE6714"/>
    <w:rsid w:val="00FF6F92"/>
    <w:rsid w:val="014B38AD"/>
    <w:rsid w:val="01DD669F"/>
    <w:rsid w:val="02FE1FF9"/>
    <w:rsid w:val="04AD0A3B"/>
    <w:rsid w:val="0539061F"/>
    <w:rsid w:val="056C1D73"/>
    <w:rsid w:val="05941C32"/>
    <w:rsid w:val="06410E51"/>
    <w:rsid w:val="066C3CE5"/>
    <w:rsid w:val="06FE6C86"/>
    <w:rsid w:val="0906705B"/>
    <w:rsid w:val="092F0220"/>
    <w:rsid w:val="0A7375B2"/>
    <w:rsid w:val="0A891756"/>
    <w:rsid w:val="0AA04BFE"/>
    <w:rsid w:val="0AAD6CF4"/>
    <w:rsid w:val="0AD44E8F"/>
    <w:rsid w:val="0BE77549"/>
    <w:rsid w:val="0C4729B0"/>
    <w:rsid w:val="0C6C2BF0"/>
    <w:rsid w:val="0D922CCC"/>
    <w:rsid w:val="0E1B13D5"/>
    <w:rsid w:val="0E501060"/>
    <w:rsid w:val="0E621326"/>
    <w:rsid w:val="0E7E38D5"/>
    <w:rsid w:val="0EDD423C"/>
    <w:rsid w:val="0FAA55C0"/>
    <w:rsid w:val="0FCB1378"/>
    <w:rsid w:val="10F2084F"/>
    <w:rsid w:val="110348F8"/>
    <w:rsid w:val="11631234"/>
    <w:rsid w:val="117D0D31"/>
    <w:rsid w:val="11EA07B6"/>
    <w:rsid w:val="135F6956"/>
    <w:rsid w:val="13920429"/>
    <w:rsid w:val="14682B04"/>
    <w:rsid w:val="156F4137"/>
    <w:rsid w:val="16C759ED"/>
    <w:rsid w:val="18723EB4"/>
    <w:rsid w:val="1A512A3C"/>
    <w:rsid w:val="1A560BFB"/>
    <w:rsid w:val="1A907FA2"/>
    <w:rsid w:val="1ADC4B9E"/>
    <w:rsid w:val="1AEA2BE5"/>
    <w:rsid w:val="1BC5039F"/>
    <w:rsid w:val="1C357AF6"/>
    <w:rsid w:val="1C5D484F"/>
    <w:rsid w:val="1CEA2700"/>
    <w:rsid w:val="1D1E5AFE"/>
    <w:rsid w:val="1D4D1D47"/>
    <w:rsid w:val="1E0E375C"/>
    <w:rsid w:val="1E1D5F75"/>
    <w:rsid w:val="1F2C033B"/>
    <w:rsid w:val="1FA23B2A"/>
    <w:rsid w:val="1FC819CB"/>
    <w:rsid w:val="204A7214"/>
    <w:rsid w:val="21994583"/>
    <w:rsid w:val="21D56090"/>
    <w:rsid w:val="235407CF"/>
    <w:rsid w:val="23640DBF"/>
    <w:rsid w:val="24D41A48"/>
    <w:rsid w:val="24FE1DC0"/>
    <w:rsid w:val="25A016BD"/>
    <w:rsid w:val="2614017B"/>
    <w:rsid w:val="26EF2570"/>
    <w:rsid w:val="27570C9B"/>
    <w:rsid w:val="27946833"/>
    <w:rsid w:val="28182C7A"/>
    <w:rsid w:val="2B036B65"/>
    <w:rsid w:val="2C493FB6"/>
    <w:rsid w:val="2C7831FE"/>
    <w:rsid w:val="2CD515F4"/>
    <w:rsid w:val="2DBA7A28"/>
    <w:rsid w:val="2DD56F1C"/>
    <w:rsid w:val="2DF8044C"/>
    <w:rsid w:val="2E075211"/>
    <w:rsid w:val="2E6D45D8"/>
    <w:rsid w:val="2EAB5D1F"/>
    <w:rsid w:val="30A15A78"/>
    <w:rsid w:val="31AF0B00"/>
    <w:rsid w:val="31CD0AE3"/>
    <w:rsid w:val="32265FD5"/>
    <w:rsid w:val="32BF4ECF"/>
    <w:rsid w:val="32FB44C9"/>
    <w:rsid w:val="33F7044F"/>
    <w:rsid w:val="357A05CB"/>
    <w:rsid w:val="357C3E36"/>
    <w:rsid w:val="37BE2D84"/>
    <w:rsid w:val="38435264"/>
    <w:rsid w:val="385357F5"/>
    <w:rsid w:val="39110557"/>
    <w:rsid w:val="395446BF"/>
    <w:rsid w:val="3A3B3117"/>
    <w:rsid w:val="3B235613"/>
    <w:rsid w:val="3B27789D"/>
    <w:rsid w:val="3E0055CC"/>
    <w:rsid w:val="3FBE1BF2"/>
    <w:rsid w:val="40487E84"/>
    <w:rsid w:val="414F4C70"/>
    <w:rsid w:val="418325F2"/>
    <w:rsid w:val="418A7597"/>
    <w:rsid w:val="41947EA6"/>
    <w:rsid w:val="42EF6735"/>
    <w:rsid w:val="44027C20"/>
    <w:rsid w:val="446C369C"/>
    <w:rsid w:val="448239F1"/>
    <w:rsid w:val="45151362"/>
    <w:rsid w:val="47FD3CA8"/>
    <w:rsid w:val="49647D77"/>
    <w:rsid w:val="498C128B"/>
    <w:rsid w:val="49A068D7"/>
    <w:rsid w:val="49E4194A"/>
    <w:rsid w:val="4A6F1C31"/>
    <w:rsid w:val="4AC85440"/>
    <w:rsid w:val="4CC74B2D"/>
    <w:rsid w:val="4D09248C"/>
    <w:rsid w:val="4D7169A0"/>
    <w:rsid w:val="4E347D9B"/>
    <w:rsid w:val="4FE415A0"/>
    <w:rsid w:val="508C2CB2"/>
    <w:rsid w:val="52232583"/>
    <w:rsid w:val="52555B21"/>
    <w:rsid w:val="52C0319D"/>
    <w:rsid w:val="53C46034"/>
    <w:rsid w:val="54537B65"/>
    <w:rsid w:val="552D2D4B"/>
    <w:rsid w:val="557C5570"/>
    <w:rsid w:val="55C82F4A"/>
    <w:rsid w:val="561B7151"/>
    <w:rsid w:val="56D848CE"/>
    <w:rsid w:val="58067F76"/>
    <w:rsid w:val="58B654AB"/>
    <w:rsid w:val="59793CD6"/>
    <w:rsid w:val="5A743572"/>
    <w:rsid w:val="5BDA559E"/>
    <w:rsid w:val="5DEA73A2"/>
    <w:rsid w:val="5EC97DDB"/>
    <w:rsid w:val="5F654690"/>
    <w:rsid w:val="60533744"/>
    <w:rsid w:val="62053FB3"/>
    <w:rsid w:val="62061760"/>
    <w:rsid w:val="651914A3"/>
    <w:rsid w:val="651E5AB2"/>
    <w:rsid w:val="664C3979"/>
    <w:rsid w:val="673D196D"/>
    <w:rsid w:val="681470B6"/>
    <w:rsid w:val="6A4A73F1"/>
    <w:rsid w:val="6A4C070C"/>
    <w:rsid w:val="6AD227CD"/>
    <w:rsid w:val="6CCE4B92"/>
    <w:rsid w:val="6E465678"/>
    <w:rsid w:val="6E686EB1"/>
    <w:rsid w:val="6E6F6F4F"/>
    <w:rsid w:val="70401D8E"/>
    <w:rsid w:val="70E7214C"/>
    <w:rsid w:val="730F3052"/>
    <w:rsid w:val="74181306"/>
    <w:rsid w:val="741F125A"/>
    <w:rsid w:val="741F4B95"/>
    <w:rsid w:val="74C7066B"/>
    <w:rsid w:val="75291143"/>
    <w:rsid w:val="772B760F"/>
    <w:rsid w:val="78524E73"/>
    <w:rsid w:val="78AD18E0"/>
    <w:rsid w:val="78F77D47"/>
    <w:rsid w:val="79554A3C"/>
    <w:rsid w:val="7A9D64D7"/>
    <w:rsid w:val="7AFC3077"/>
    <w:rsid w:val="7B0302AC"/>
    <w:rsid w:val="7B430CF1"/>
    <w:rsid w:val="7D5F5520"/>
    <w:rsid w:val="7DB303AF"/>
    <w:rsid w:val="7DD97789"/>
    <w:rsid w:val="7E195E61"/>
    <w:rsid w:val="7E1E602A"/>
    <w:rsid w:val="7E5570D2"/>
    <w:rsid w:val="7F1A2454"/>
    <w:rsid w:val="7F4C3D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semiHidden="0" w:name="index 3"/>
    <w:lsdException w:uiPriority="0" w:semiHidden="0" w:name="index 4"/>
    <w:lsdException w:qFormat="1" w:uiPriority="0" w:semiHidden="0" w:name="index 5"/>
    <w:lsdException w:qFormat="1" w:uiPriority="0" w:semiHidden="0" w:name="index 6"/>
    <w:lsdException w:uiPriority="0" w:semiHidden="0" w:name="index 7"/>
    <w:lsdException w:uiPriority="0" w:semiHidden="0" w:name="index 8"/>
    <w:lsdException w:qFormat="1" w:uiPriority="0" w:semiHidden="0" w:name="index 9"/>
    <w:lsdException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semiHidden="0" w:name="index heading"/>
    <w:lsdException w:qFormat="1" w:uiPriority="0" w:semiHidden="0" w:name="caption"/>
    <w:lsdException w:qFormat="1" w:uiPriority="0" w:semiHidden="0" w:name="table of figures"/>
    <w:lsdException w:uiPriority="0" w:semiHidden="0" w:name="envelope address"/>
    <w:lsdException w:qFormat="1"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uiPriority="0" w:semiHidden="0" w:name="List Continue"/>
    <w:lsdException w:uiPriority="0" w:semiHidden="0" w:name="List Continue 2"/>
    <w:lsdException w:uiPriority="0" w:semiHidden="0" w:name="List Continue 3"/>
    <w:lsdException w:qFormat="1" w:uiPriority="0" w:semiHidden="0" w:name="List Continue 4"/>
    <w:lsdException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0" w:semiHidden="0" w:name="Body Text First Indent 2"/>
    <w:lsdException w:qFormat="1" w:uiPriority="0" w:semiHidden="0" w:name="Note Heading"/>
    <w:lsdException w:uiPriority="0" w:semiHidden="0" w:name="Body Text 2"/>
    <w:lsdException w:uiPriority="0" w:semiHidden="0" w:name="Body Text 3"/>
    <w:lsdException w:uiPriority="0" w:semiHidden="0" w:name="Body Text Indent 2"/>
    <w:lsdException w:uiPriority="0" w:semiHidden="0" w:name="Body Text Indent 3"/>
    <w:lsdException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20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5"/>
    <w:qFormat/>
    <w:uiPriority w:val="0"/>
    <w:pPr>
      <w:pBdr>
        <w:top w:val="none" w:color="auto" w:sz="0" w:space="0"/>
      </w:pBdr>
      <w:spacing w:before="180"/>
      <w:outlineLvl w:val="1"/>
    </w:pPr>
    <w:rPr>
      <w:sz w:val="32"/>
    </w:rPr>
  </w:style>
  <w:style w:type="paragraph" w:styleId="5">
    <w:name w:val="heading 3"/>
    <w:basedOn w:val="4"/>
    <w:next w:val="1"/>
    <w:link w:val="194"/>
    <w:qFormat/>
    <w:uiPriority w:val="0"/>
    <w:pPr>
      <w:spacing w:before="120"/>
      <w:outlineLvl w:val="2"/>
    </w:pPr>
    <w:rPr>
      <w:sz w:val="28"/>
    </w:rPr>
  </w:style>
  <w:style w:type="paragraph" w:styleId="6">
    <w:name w:val="heading 4"/>
    <w:basedOn w:val="5"/>
    <w:next w:val="1"/>
    <w:link w:val="181"/>
    <w:qFormat/>
    <w:uiPriority w:val="0"/>
    <w:pPr>
      <w:ind w:left="1418" w:hanging="1418"/>
      <w:outlineLvl w:val="3"/>
    </w:pPr>
    <w:rPr>
      <w:sz w:val="24"/>
    </w:rPr>
  </w:style>
  <w:style w:type="paragraph" w:styleId="7">
    <w:name w:val="heading 5"/>
    <w:basedOn w:val="6"/>
    <w:next w:val="1"/>
    <w:link w:val="187"/>
    <w:qFormat/>
    <w:uiPriority w:val="0"/>
    <w:pPr>
      <w:ind w:left="1701" w:hanging="1701"/>
      <w:outlineLvl w:val="4"/>
    </w:pPr>
    <w:rPr>
      <w:sz w:val="22"/>
    </w:rPr>
  </w:style>
  <w:style w:type="paragraph" w:styleId="8">
    <w:name w:val="heading 6"/>
    <w:basedOn w:val="9"/>
    <w:next w:val="1"/>
    <w:link w:val="213"/>
    <w:qFormat/>
    <w:uiPriority w:val="0"/>
    <w:pPr>
      <w:outlineLvl w:val="5"/>
    </w:pPr>
  </w:style>
  <w:style w:type="paragraph" w:styleId="10">
    <w:name w:val="heading 7"/>
    <w:basedOn w:val="9"/>
    <w:next w:val="1"/>
    <w:link w:val="214"/>
    <w:qFormat/>
    <w:uiPriority w:val="0"/>
    <w:pPr>
      <w:outlineLvl w:val="6"/>
    </w:pPr>
  </w:style>
  <w:style w:type="paragraph" w:styleId="11">
    <w:name w:val="heading 8"/>
    <w:basedOn w:val="3"/>
    <w:next w:val="1"/>
    <w:link w:val="186"/>
    <w:qFormat/>
    <w:uiPriority w:val="0"/>
    <w:pPr>
      <w:ind w:left="0" w:firstLine="0"/>
      <w:outlineLvl w:val="7"/>
    </w:pPr>
  </w:style>
  <w:style w:type="paragraph" w:styleId="12">
    <w:name w:val="heading 9"/>
    <w:basedOn w:val="11"/>
    <w:next w:val="1"/>
    <w:link w:val="215"/>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0"/>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link w:val="20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uiPriority w:val="39"/>
    <w:pPr>
      <w:tabs>
        <w:tab w:val="right" w:leader="dot" w:pos="9639"/>
      </w:tabs>
      <w:ind w:left="2268" w:hanging="2268"/>
    </w:pPr>
  </w:style>
  <w:style w:type="paragraph" w:styleId="17">
    <w:name w:val="toc 6"/>
    <w:basedOn w:val="18"/>
    <w:next w:val="1"/>
    <w:uiPriority w:val="39"/>
    <w:pPr>
      <w:tabs>
        <w:tab w:val="right" w:leader="dot" w:pos="9639"/>
      </w:tabs>
      <w:ind w:left="1985" w:hanging="1985"/>
    </w:pPr>
  </w:style>
  <w:style w:type="paragraph" w:styleId="18">
    <w:name w:val="toc 5"/>
    <w:basedOn w:val="19"/>
    <w:next w:val="1"/>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3"/>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unhideWhenUsed/>
    <w:uiPriority w:val="0"/>
    <w:pPr>
      <w:spacing w:after="0"/>
      <w:ind w:left="1600" w:hanging="200"/>
    </w:pPr>
  </w:style>
  <w:style w:type="paragraph" w:styleId="32">
    <w:name w:val="E-mail Signature"/>
    <w:basedOn w:val="1"/>
    <w:link w:val="143"/>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90"/>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unhideWhenUsed/>
    <w:uiPriority w:val="0"/>
    <w:pPr>
      <w:spacing w:after="120"/>
    </w:pPr>
    <w:rPr>
      <w:sz w:val="16"/>
      <w:szCs w:val="16"/>
    </w:rPr>
  </w:style>
  <w:style w:type="paragraph" w:styleId="43">
    <w:name w:val="Closing"/>
    <w:basedOn w:val="1"/>
    <w:link w:val="141"/>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unhideWhenUsed/>
    <w:qFormat/>
    <w:uiPriority w:val="0"/>
    <w:pPr>
      <w:spacing w:after="120"/>
      <w:ind w:left="283"/>
    </w:pPr>
  </w:style>
  <w:style w:type="paragraph" w:styleId="46">
    <w:name w:val="List Number 3"/>
    <w:basedOn w:val="1"/>
    <w:unhideWhenUsed/>
    <w:uiPriority w:val="0"/>
    <w:pPr>
      <w:numPr>
        <w:ilvl w:val="0"/>
        <w:numId w:val="1"/>
      </w:numPr>
      <w:contextualSpacing/>
    </w:pPr>
  </w:style>
  <w:style w:type="paragraph" w:styleId="47">
    <w:name w:val="List Continue"/>
    <w:basedOn w:val="1"/>
    <w:unhideWhenUsed/>
    <w:uiPriority w:val="0"/>
    <w:pPr>
      <w:spacing w:after="120"/>
      <w:ind w:left="283"/>
      <w:contextualSpacing/>
    </w:pPr>
  </w:style>
  <w:style w:type="paragraph" w:styleId="48">
    <w:name w:val="Block Text"/>
    <w:basedOn w:val="1"/>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unhideWhenUsed/>
    <w:uiPriority w:val="0"/>
    <w:pPr>
      <w:spacing w:after="0"/>
    </w:pPr>
    <w:rPr>
      <w:i/>
      <w:iCs/>
    </w:rPr>
  </w:style>
  <w:style w:type="paragraph" w:styleId="50">
    <w:name w:val="index 4"/>
    <w:basedOn w:val="1"/>
    <w:next w:val="1"/>
    <w:unhideWhenUsed/>
    <w:uiPriority w:val="0"/>
    <w:pPr>
      <w:spacing w:after="0"/>
      <w:ind w:left="800" w:hanging="200"/>
    </w:pPr>
  </w:style>
  <w:style w:type="paragraph" w:styleId="51">
    <w:name w:val="Plain Text"/>
    <w:basedOn w:val="1"/>
    <w:link w:val="154"/>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unhideWhenUsed/>
    <w:uiPriority w:val="0"/>
    <w:pPr>
      <w:spacing w:after="120" w:line="480" w:lineRule="auto"/>
      <w:ind w:left="283"/>
    </w:pPr>
  </w:style>
  <w:style w:type="paragraph" w:styleId="58">
    <w:name w:val="endnote text"/>
    <w:basedOn w:val="1"/>
    <w:link w:val="144"/>
    <w:unhideWhenUsed/>
    <w:uiPriority w:val="0"/>
    <w:pPr>
      <w:spacing w:after="0"/>
    </w:pPr>
  </w:style>
  <w:style w:type="paragraph" w:styleId="59">
    <w:name w:val="List Continue 5"/>
    <w:basedOn w:val="1"/>
    <w:unhideWhenUsed/>
    <w:uiPriority w:val="0"/>
    <w:pPr>
      <w:spacing w:after="120"/>
      <w:ind w:left="1415"/>
      <w:contextualSpacing/>
    </w:pPr>
  </w:style>
  <w:style w:type="paragraph" w:styleId="60">
    <w:name w:val="Balloon Text"/>
    <w:basedOn w:val="1"/>
    <w:link w:val="167"/>
    <w:uiPriority w:val="0"/>
    <w:rPr>
      <w:rFonts w:ascii="Tahoma" w:hAnsi="Tahoma" w:cs="Tahoma"/>
      <w:sz w:val="16"/>
      <w:szCs w:val="16"/>
    </w:rPr>
  </w:style>
  <w:style w:type="paragraph" w:styleId="61">
    <w:name w:val="footer"/>
    <w:basedOn w:val="62"/>
    <w:link w:val="205"/>
    <w:qFormat/>
    <w:uiPriority w:val="0"/>
    <w:pPr>
      <w:jc w:val="center"/>
    </w:pPr>
    <w:rPr>
      <w:i/>
    </w:rPr>
  </w:style>
  <w:style w:type="paragraph" w:styleId="62">
    <w:name w:val="header"/>
    <w:link w:val="216"/>
    <w:uiPriority w:val="0"/>
    <w:pPr>
      <w:widowControl w:val="0"/>
    </w:pPr>
    <w:rPr>
      <w:rFonts w:ascii="Arial" w:hAnsi="Arial" w:eastAsia="宋体"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8"/>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uiPriority w:val="0"/>
    <w:rPr>
      <w:rFonts w:asciiTheme="majorHAnsi" w:hAnsiTheme="majorHAnsi" w:eastAsiaTheme="majorEastAsia" w:cstheme="majorBidi"/>
      <w:b/>
      <w:bCs/>
    </w:rPr>
  </w:style>
  <w:style w:type="paragraph" w:styleId="67">
    <w:name w:val="index 1"/>
    <w:basedOn w:val="1"/>
    <w:next w:val="1"/>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2"/>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unhideWhenUsed/>
    <w:uiPriority w:val="0"/>
    <w:pPr>
      <w:spacing w:after="120"/>
      <w:ind w:left="283"/>
    </w:pPr>
    <w:rPr>
      <w:sz w:val="16"/>
      <w:szCs w:val="16"/>
    </w:rPr>
  </w:style>
  <w:style w:type="paragraph" w:styleId="74">
    <w:name w:val="index 7"/>
    <w:basedOn w:val="1"/>
    <w:next w:val="1"/>
    <w:unhideWhenUsed/>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4"/>
    <w:unhideWhenUsed/>
    <w:uiPriority w:val="0"/>
    <w:pPr>
      <w:spacing w:after="120" w:line="480" w:lineRule="auto"/>
    </w:pPr>
  </w:style>
  <w:style w:type="paragraph" w:styleId="79">
    <w:name w:val="List Continue 2"/>
    <w:basedOn w:val="1"/>
    <w:unhideWhenUsed/>
    <w:uiPriority w:val="0"/>
    <w:pPr>
      <w:spacing w:after="120"/>
      <w:ind w:left="566"/>
      <w:contextualSpacing/>
    </w:pPr>
  </w:style>
  <w:style w:type="paragraph" w:styleId="80">
    <w:name w:val="Message Header"/>
    <w:basedOn w:val="1"/>
    <w:link w:val="151"/>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91"/>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unhideWhenUsed/>
    <w:uiPriority w:val="0"/>
    <w:pPr>
      <w:spacing w:after="180"/>
      <w:ind w:left="360" w:firstLine="360"/>
    </w:pPr>
  </w:style>
  <w:style w:type="table" w:styleId="90">
    <w:name w:val="Table Grid"/>
    <w:basedOn w:val="89"/>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FollowedHyperlink"/>
    <w:qFormat/>
    <w:uiPriority w:val="0"/>
    <w:rPr>
      <w:color w:val="800080"/>
      <w:u w:val="single"/>
    </w:rPr>
  </w:style>
  <w:style w:type="character" w:styleId="94">
    <w:name w:val="Hyperlink"/>
    <w:uiPriority w:val="0"/>
    <w:rPr>
      <w:color w:val="0000FF"/>
      <w:u w:val="single"/>
    </w:rPr>
  </w:style>
  <w:style w:type="character" w:styleId="95">
    <w:name w:val="annotation reference"/>
    <w:uiPriority w:val="0"/>
    <w:rPr>
      <w:sz w:val="16"/>
    </w:rPr>
  </w:style>
  <w:style w:type="character" w:styleId="96">
    <w:name w:val="footnote reference"/>
    <w:qFormat/>
    <w:uiPriority w:val="0"/>
    <w:rPr>
      <w:b/>
      <w:position w:val="6"/>
      <w:sz w:val="16"/>
    </w:r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uiPriority w:val="0"/>
    <w:pPr>
      <w:outlineLvl w:val="9"/>
    </w:pPr>
  </w:style>
  <w:style w:type="paragraph" w:customStyle="1" w:styleId="100">
    <w:name w:val="TAH"/>
    <w:basedOn w:val="101"/>
    <w:link w:val="177"/>
    <w:qFormat/>
    <w:uiPriority w:val="0"/>
    <w:rPr>
      <w:b/>
    </w:rPr>
  </w:style>
  <w:style w:type="paragraph" w:customStyle="1" w:styleId="101">
    <w:name w:val="TAC"/>
    <w:basedOn w:val="102"/>
    <w:link w:val="180"/>
    <w:qFormat/>
    <w:uiPriority w:val="0"/>
    <w:pPr>
      <w:jc w:val="center"/>
    </w:pPr>
  </w:style>
  <w:style w:type="paragraph" w:customStyle="1" w:styleId="102">
    <w:name w:val="TAL"/>
    <w:basedOn w:val="1"/>
    <w:link w:val="176"/>
    <w:qFormat/>
    <w:uiPriority w:val="0"/>
    <w:pPr>
      <w:keepNext/>
      <w:keepLines/>
      <w:spacing w:after="0"/>
    </w:pPr>
    <w:rPr>
      <w:rFonts w:ascii="Arial" w:hAnsi="Arial"/>
      <w:sz w:val="18"/>
    </w:rPr>
  </w:style>
  <w:style w:type="paragraph" w:customStyle="1" w:styleId="103">
    <w:name w:val="TF"/>
    <w:basedOn w:val="104"/>
    <w:link w:val="193"/>
    <w:qFormat/>
    <w:uiPriority w:val="0"/>
    <w:pPr>
      <w:keepNext w:val="0"/>
      <w:spacing w:before="0" w:after="240"/>
    </w:pPr>
  </w:style>
  <w:style w:type="paragraph" w:customStyle="1" w:styleId="104">
    <w:name w:val="TH"/>
    <w:basedOn w:val="1"/>
    <w:link w:val="178"/>
    <w:qFormat/>
    <w:uiPriority w:val="0"/>
    <w:pPr>
      <w:keepNext/>
      <w:keepLines/>
      <w:spacing w:before="60"/>
      <w:jc w:val="center"/>
    </w:pPr>
    <w:rPr>
      <w:rFonts w:ascii="Arial" w:hAnsi="Arial"/>
      <w:b/>
    </w:rPr>
  </w:style>
  <w:style w:type="paragraph" w:customStyle="1" w:styleId="105">
    <w:name w:val="NO"/>
    <w:basedOn w:val="1"/>
    <w:link w:val="179"/>
    <w:qFormat/>
    <w:uiPriority w:val="0"/>
    <w:pPr>
      <w:keepLines/>
      <w:ind w:left="1135" w:hanging="851"/>
    </w:pPr>
  </w:style>
  <w:style w:type="paragraph" w:customStyle="1" w:styleId="106">
    <w:name w:val="EX"/>
    <w:basedOn w:val="1"/>
    <w:link w:val="16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link w:val="188"/>
    <w:qFormat/>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link w:val="1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link w:val="183"/>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9"/>
    <w:qFormat/>
    <w:uiPriority w:val="0"/>
    <w:rPr>
      <w:color w:val="FF0000"/>
    </w:rPr>
  </w:style>
  <w:style w:type="paragraph" w:customStyle="1" w:styleId="124">
    <w:name w:val="B1"/>
    <w:basedOn w:val="15"/>
    <w:link w:val="163"/>
    <w:qFormat/>
    <w:uiPriority w:val="0"/>
  </w:style>
  <w:style w:type="paragraph" w:customStyle="1" w:styleId="125">
    <w:name w:val="B2"/>
    <w:basedOn w:val="14"/>
    <w:link w:val="164"/>
    <w:qFormat/>
    <w:uiPriority w:val="0"/>
  </w:style>
  <w:style w:type="paragraph" w:customStyle="1" w:styleId="126">
    <w:name w:val="B3"/>
    <w:basedOn w:val="13"/>
    <w:link w:val="204"/>
    <w:qFormat/>
    <w:uiPriority w:val="0"/>
  </w:style>
  <w:style w:type="paragraph" w:customStyle="1" w:styleId="127">
    <w:name w:val="B4"/>
    <w:basedOn w:val="72"/>
    <w:qFormat/>
    <w:uiPriority w:val="0"/>
  </w:style>
  <w:style w:type="paragraph" w:customStyle="1" w:styleId="128">
    <w:name w:val="B5"/>
    <w:basedOn w:val="71"/>
    <w:uiPriority w:val="0"/>
  </w:style>
  <w:style w:type="paragraph" w:customStyle="1" w:styleId="129">
    <w:name w:val="ZTD"/>
    <w:basedOn w:val="117"/>
    <w:qFormat/>
    <w:uiPriority w:val="0"/>
    <w:pPr>
      <w:framePr w:hRule="auto" w:y="852"/>
    </w:pPr>
    <w:rPr>
      <w:i w:val="0"/>
      <w:sz w:val="40"/>
    </w:rPr>
  </w:style>
  <w:style w:type="paragraph" w:customStyle="1" w:styleId="130">
    <w:name w:val="CR Cover Page"/>
    <w:link w:val="207"/>
    <w:qFormat/>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Bibliography"/>
    <w:basedOn w:val="1"/>
    <w:next w:val="1"/>
    <w:semiHidden/>
    <w:unhideWhenUsed/>
    <w:uiPriority w:val="37"/>
  </w:style>
  <w:style w:type="character" w:customStyle="1" w:styleId="133">
    <w:name w:val="正文文本 Char"/>
    <w:basedOn w:val="91"/>
    <w:link w:val="44"/>
    <w:uiPriority w:val="0"/>
    <w:rPr>
      <w:rFonts w:ascii="Times New Roman" w:hAnsi="Times New Roman"/>
      <w:lang w:val="en-GB" w:eastAsia="en-US"/>
    </w:rPr>
  </w:style>
  <w:style w:type="character" w:customStyle="1" w:styleId="134">
    <w:name w:val="正文文本 2 Char"/>
    <w:basedOn w:val="91"/>
    <w:link w:val="78"/>
    <w:qFormat/>
    <w:uiPriority w:val="0"/>
    <w:rPr>
      <w:rFonts w:ascii="Times New Roman" w:hAnsi="Times New Roman"/>
      <w:lang w:val="en-GB" w:eastAsia="en-US"/>
    </w:rPr>
  </w:style>
  <w:style w:type="character" w:customStyle="1" w:styleId="135">
    <w:name w:val="正文文本 3 Char"/>
    <w:basedOn w:val="91"/>
    <w:link w:val="42"/>
    <w:qFormat/>
    <w:uiPriority w:val="0"/>
    <w:rPr>
      <w:rFonts w:ascii="Times New Roman" w:hAnsi="Times New Roman"/>
      <w:sz w:val="16"/>
      <w:szCs w:val="16"/>
      <w:lang w:val="en-GB" w:eastAsia="en-US"/>
    </w:rPr>
  </w:style>
  <w:style w:type="character" w:customStyle="1" w:styleId="136">
    <w:name w:val="正文首行缩进 Char"/>
    <w:basedOn w:val="133"/>
    <w:link w:val="87"/>
    <w:uiPriority w:val="0"/>
    <w:rPr>
      <w:rFonts w:ascii="Times New Roman" w:hAnsi="Times New Roman"/>
      <w:lang w:val="en-GB" w:eastAsia="en-US"/>
    </w:rPr>
  </w:style>
  <w:style w:type="character" w:customStyle="1" w:styleId="137">
    <w:name w:val="正文文本缩进 Char"/>
    <w:basedOn w:val="91"/>
    <w:link w:val="45"/>
    <w:qFormat/>
    <w:uiPriority w:val="0"/>
    <w:rPr>
      <w:rFonts w:ascii="Times New Roman" w:hAnsi="Times New Roman"/>
      <w:lang w:val="en-GB" w:eastAsia="en-US"/>
    </w:rPr>
  </w:style>
  <w:style w:type="character" w:customStyle="1" w:styleId="138">
    <w:name w:val="正文首行缩进 2 Char"/>
    <w:basedOn w:val="137"/>
    <w:link w:val="88"/>
    <w:uiPriority w:val="0"/>
    <w:rPr>
      <w:rFonts w:ascii="Times New Roman" w:hAnsi="Times New Roman"/>
      <w:lang w:val="en-GB" w:eastAsia="en-US"/>
    </w:rPr>
  </w:style>
  <w:style w:type="character" w:customStyle="1" w:styleId="139">
    <w:name w:val="正文文本缩进 2 Char"/>
    <w:basedOn w:val="91"/>
    <w:link w:val="57"/>
    <w:qFormat/>
    <w:uiPriority w:val="0"/>
    <w:rPr>
      <w:rFonts w:ascii="Times New Roman" w:hAnsi="Times New Roman"/>
      <w:lang w:val="en-GB" w:eastAsia="en-US"/>
    </w:rPr>
  </w:style>
  <w:style w:type="character" w:customStyle="1" w:styleId="140">
    <w:name w:val="正文文本缩进 3 Char"/>
    <w:basedOn w:val="91"/>
    <w:link w:val="73"/>
    <w:uiPriority w:val="0"/>
    <w:rPr>
      <w:rFonts w:ascii="Times New Roman" w:hAnsi="Times New Roman"/>
      <w:sz w:val="16"/>
      <w:szCs w:val="16"/>
      <w:lang w:val="en-GB" w:eastAsia="en-US"/>
    </w:rPr>
  </w:style>
  <w:style w:type="character" w:customStyle="1" w:styleId="141">
    <w:name w:val="结束语 Char"/>
    <w:basedOn w:val="91"/>
    <w:link w:val="43"/>
    <w:qFormat/>
    <w:uiPriority w:val="0"/>
    <w:rPr>
      <w:rFonts w:ascii="Times New Roman" w:hAnsi="Times New Roman"/>
      <w:lang w:val="en-GB" w:eastAsia="en-US"/>
    </w:rPr>
  </w:style>
  <w:style w:type="character" w:customStyle="1" w:styleId="142">
    <w:name w:val="日期 Char"/>
    <w:basedOn w:val="91"/>
    <w:link w:val="56"/>
    <w:uiPriority w:val="0"/>
    <w:rPr>
      <w:rFonts w:ascii="Times New Roman" w:hAnsi="Times New Roman"/>
      <w:lang w:val="en-GB" w:eastAsia="en-US"/>
    </w:rPr>
  </w:style>
  <w:style w:type="character" w:customStyle="1" w:styleId="143">
    <w:name w:val="电子邮件签名 Char"/>
    <w:basedOn w:val="91"/>
    <w:link w:val="32"/>
    <w:uiPriority w:val="0"/>
    <w:rPr>
      <w:rFonts w:ascii="Times New Roman" w:hAnsi="Times New Roman"/>
      <w:lang w:val="en-GB" w:eastAsia="en-US"/>
    </w:rPr>
  </w:style>
  <w:style w:type="character" w:customStyle="1" w:styleId="144">
    <w:name w:val="尾注文本 Char"/>
    <w:basedOn w:val="91"/>
    <w:link w:val="58"/>
    <w:uiPriority w:val="0"/>
    <w:rPr>
      <w:rFonts w:ascii="Times New Roman" w:hAnsi="Times New Roman"/>
      <w:lang w:val="en-GB" w:eastAsia="en-US"/>
    </w:rPr>
  </w:style>
  <w:style w:type="character" w:customStyle="1" w:styleId="145">
    <w:name w:val="HTML 地址 Char"/>
    <w:basedOn w:val="91"/>
    <w:link w:val="49"/>
    <w:qFormat/>
    <w:uiPriority w:val="0"/>
    <w:rPr>
      <w:rFonts w:ascii="Times New Roman" w:hAnsi="Times New Roman"/>
      <w:i/>
      <w:iCs/>
      <w:lang w:val="en-GB" w:eastAsia="en-US"/>
    </w:rPr>
  </w:style>
  <w:style w:type="character" w:customStyle="1" w:styleId="146">
    <w:name w:val="HTML 预设格式 Char"/>
    <w:basedOn w:val="91"/>
    <w:link w:val="81"/>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Char"/>
    <w:basedOn w:val="91"/>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Char"/>
    <w:basedOn w:val="91"/>
    <w:link w:val="2"/>
    <w:qFormat/>
    <w:uiPriority w:val="0"/>
    <w:rPr>
      <w:rFonts w:ascii="Consolas" w:hAnsi="Consolas"/>
      <w:lang w:val="en-GB" w:eastAsia="en-US"/>
    </w:rPr>
  </w:style>
  <w:style w:type="character" w:customStyle="1" w:styleId="151">
    <w:name w:val="信息标题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宋体" w:cs="Times New Roman"/>
      <w:lang w:val="en-GB" w:eastAsia="en-US" w:bidi="ar-SA"/>
    </w:rPr>
  </w:style>
  <w:style w:type="character" w:customStyle="1" w:styleId="153">
    <w:name w:val="注释标题 Char"/>
    <w:basedOn w:val="91"/>
    <w:link w:val="26"/>
    <w:qFormat/>
    <w:uiPriority w:val="0"/>
    <w:rPr>
      <w:rFonts w:ascii="Times New Roman" w:hAnsi="Times New Roman"/>
      <w:lang w:val="en-GB" w:eastAsia="en-US"/>
    </w:rPr>
  </w:style>
  <w:style w:type="character" w:customStyle="1" w:styleId="154">
    <w:name w:val="纯文本 Char"/>
    <w:basedOn w:val="91"/>
    <w:link w:val="51"/>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Char"/>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Char"/>
    <w:basedOn w:val="91"/>
    <w:link w:val="41"/>
    <w:uiPriority w:val="0"/>
    <w:rPr>
      <w:rFonts w:ascii="Times New Roman" w:hAnsi="Times New Roman"/>
      <w:lang w:val="en-GB" w:eastAsia="en-US"/>
    </w:rPr>
  </w:style>
  <w:style w:type="character" w:customStyle="1" w:styleId="158">
    <w:name w:val="签名 Char"/>
    <w:basedOn w:val="91"/>
    <w:link w:val="64"/>
    <w:qFormat/>
    <w:uiPriority w:val="0"/>
    <w:rPr>
      <w:rFonts w:ascii="Times New Roman" w:hAnsi="Times New Roman"/>
      <w:lang w:val="en-GB" w:eastAsia="en-US"/>
    </w:rPr>
  </w:style>
  <w:style w:type="character" w:customStyle="1" w:styleId="159">
    <w:name w:val="副标题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PL Char"/>
    <w:link w:val="113"/>
    <w:qFormat/>
    <w:locked/>
    <w:uiPriority w:val="0"/>
    <w:rPr>
      <w:rFonts w:ascii="Courier New" w:hAnsi="Courier New"/>
      <w:sz w:val="16"/>
      <w:lang w:val="en-GB" w:eastAsia="en-US"/>
    </w:rPr>
  </w:style>
  <w:style w:type="character" w:customStyle="1" w:styleId="163">
    <w:name w:val="B1 Char"/>
    <w:link w:val="124"/>
    <w:qFormat/>
    <w:uiPriority w:val="0"/>
    <w:rPr>
      <w:rFonts w:ascii="Times New Roman" w:hAnsi="Times New Roman"/>
      <w:lang w:val="en-GB" w:eastAsia="en-US"/>
    </w:rPr>
  </w:style>
  <w:style w:type="character" w:customStyle="1" w:styleId="164">
    <w:name w:val="B2 Char"/>
    <w:link w:val="125"/>
    <w:qFormat/>
    <w:uiPriority w:val="0"/>
    <w:rPr>
      <w:rFonts w:ascii="Times New Roman" w:hAnsi="Times New Roman"/>
      <w:lang w:val="en-GB" w:eastAsia="en-US"/>
    </w:rPr>
  </w:style>
  <w:style w:type="paragraph" w:customStyle="1" w:styleId="165">
    <w:name w:val="TAJ"/>
    <w:basedOn w:val="104"/>
    <w:qFormat/>
    <w:uiPriority w:val="0"/>
    <w:rPr>
      <w:rFonts w:eastAsia="等线"/>
    </w:rPr>
  </w:style>
  <w:style w:type="paragraph" w:customStyle="1" w:styleId="166">
    <w:name w:val="Guidance"/>
    <w:basedOn w:val="1"/>
    <w:qFormat/>
    <w:uiPriority w:val="0"/>
    <w:rPr>
      <w:rFonts w:eastAsia="等线"/>
      <w:i/>
      <w:color w:val="0000FF"/>
    </w:rPr>
  </w:style>
  <w:style w:type="character" w:customStyle="1" w:styleId="167">
    <w:name w:val="批注框文本 Char"/>
    <w:link w:val="60"/>
    <w:qFormat/>
    <w:uiPriority w:val="0"/>
    <w:rPr>
      <w:rFonts w:ascii="Tahoma" w:hAnsi="Tahoma" w:cs="Tahoma"/>
      <w:sz w:val="16"/>
      <w:szCs w:val="16"/>
      <w:lang w:val="en-GB" w:eastAsia="en-US"/>
    </w:rPr>
  </w:style>
  <w:style w:type="character" w:customStyle="1" w:styleId="168">
    <w:name w:val="Unresolved Mention1"/>
    <w:semiHidden/>
    <w:unhideWhenUsed/>
    <w:qFormat/>
    <w:uiPriority w:val="99"/>
    <w:rPr>
      <w:color w:val="605E5C"/>
      <w:shd w:val="clear" w:color="auto" w:fill="E1DFDD"/>
    </w:rPr>
  </w:style>
  <w:style w:type="character" w:customStyle="1" w:styleId="169">
    <w:name w:val="EX Car"/>
    <w:link w:val="106"/>
    <w:qFormat/>
    <w:uiPriority w:val="0"/>
    <w:rPr>
      <w:rFonts w:ascii="Times New Roman" w:hAnsi="Times New Roman"/>
      <w:lang w:val="en-GB" w:eastAsia="en-US"/>
    </w:rPr>
  </w:style>
  <w:style w:type="paragraph" w:customStyle="1" w:styleId="170">
    <w:name w:val="TempNote"/>
    <w:basedOn w:val="1"/>
    <w:qFormat/>
    <w:uiPriority w:val="0"/>
    <w:pPr>
      <w:overflowPunct w:val="0"/>
      <w:autoSpaceDE w:val="0"/>
      <w:autoSpaceDN w:val="0"/>
      <w:adjustRightInd w:val="0"/>
      <w:spacing w:after="0"/>
      <w:textAlignment w:val="baseline"/>
    </w:pPr>
    <w:rPr>
      <w:rFonts w:ascii="Arial" w:hAnsi="Arial" w:eastAsia="等线"/>
      <w:i/>
      <w:color w:val="0070C0"/>
    </w:rPr>
  </w:style>
  <w:style w:type="paragraph" w:customStyle="1" w:styleId="171">
    <w:name w:val="TemplateH4"/>
    <w:basedOn w:val="1"/>
    <w:qFormat/>
    <w:uiPriority w:val="0"/>
    <w:pPr>
      <w:overflowPunct w:val="0"/>
      <w:autoSpaceDE w:val="0"/>
      <w:autoSpaceDN w:val="0"/>
      <w:adjustRightInd w:val="0"/>
      <w:textAlignment w:val="baseline"/>
    </w:pPr>
    <w:rPr>
      <w:rFonts w:ascii="Arial" w:hAnsi="Arial" w:eastAsia="等线" w:cs="Arial"/>
      <w:sz w:val="24"/>
      <w:szCs w:val="24"/>
    </w:rPr>
  </w:style>
  <w:style w:type="paragraph" w:customStyle="1" w:styleId="172">
    <w:name w:val="AltNormal"/>
    <w:basedOn w:val="1"/>
    <w:link w:val="173"/>
    <w:qFormat/>
    <w:uiPriority w:val="0"/>
    <w:pPr>
      <w:spacing w:before="120" w:after="0"/>
    </w:pPr>
    <w:rPr>
      <w:rFonts w:ascii="Arial" w:hAnsi="Arial" w:eastAsia="等线"/>
    </w:rPr>
  </w:style>
  <w:style w:type="character" w:customStyle="1" w:styleId="173">
    <w:name w:val="AltNormal Char"/>
    <w:link w:val="172"/>
    <w:qFormat/>
    <w:uiPriority w:val="0"/>
    <w:rPr>
      <w:rFonts w:ascii="Arial" w:hAnsi="Arial" w:eastAsia="等线"/>
      <w:lang w:val="en-GB" w:eastAsia="en-US"/>
    </w:rPr>
  </w:style>
  <w:style w:type="paragraph" w:customStyle="1" w:styleId="174">
    <w:name w:val="TemplateH3"/>
    <w:basedOn w:val="1"/>
    <w:qFormat/>
    <w:uiPriority w:val="0"/>
    <w:pPr>
      <w:overflowPunct w:val="0"/>
      <w:autoSpaceDE w:val="0"/>
      <w:autoSpaceDN w:val="0"/>
      <w:adjustRightInd w:val="0"/>
      <w:textAlignment w:val="baseline"/>
    </w:pPr>
    <w:rPr>
      <w:rFonts w:ascii="Arial" w:hAnsi="Arial" w:eastAsia="等线" w:cs="Arial"/>
      <w:sz w:val="28"/>
      <w:szCs w:val="28"/>
    </w:rPr>
  </w:style>
  <w:style w:type="paragraph" w:customStyle="1" w:styleId="175">
    <w:name w:val="TemplateH2"/>
    <w:basedOn w:val="1"/>
    <w:qFormat/>
    <w:uiPriority w:val="0"/>
    <w:pPr>
      <w:overflowPunct w:val="0"/>
      <w:autoSpaceDE w:val="0"/>
      <w:autoSpaceDN w:val="0"/>
      <w:adjustRightInd w:val="0"/>
      <w:textAlignment w:val="baseline"/>
    </w:pPr>
    <w:rPr>
      <w:rFonts w:ascii="Arial" w:hAnsi="Arial" w:eastAsia="等线" w:cs="Arial"/>
      <w:sz w:val="32"/>
      <w:szCs w:val="32"/>
    </w:rPr>
  </w:style>
  <w:style w:type="character" w:customStyle="1" w:styleId="176">
    <w:name w:val="TAL Char"/>
    <w:link w:val="102"/>
    <w:qFormat/>
    <w:locked/>
    <w:uiPriority w:val="0"/>
    <w:rPr>
      <w:rFonts w:ascii="Arial" w:hAnsi="Arial"/>
      <w:sz w:val="18"/>
      <w:lang w:val="en-GB" w:eastAsia="en-US"/>
    </w:rPr>
  </w:style>
  <w:style w:type="character" w:customStyle="1" w:styleId="177">
    <w:name w:val="TAH Char"/>
    <w:link w:val="100"/>
    <w:qFormat/>
    <w:locked/>
    <w:uiPriority w:val="0"/>
    <w:rPr>
      <w:rFonts w:ascii="Arial" w:hAnsi="Arial"/>
      <w:b/>
      <w:sz w:val="18"/>
      <w:lang w:val="en-GB" w:eastAsia="en-US"/>
    </w:rPr>
  </w:style>
  <w:style w:type="character" w:customStyle="1" w:styleId="178">
    <w:name w:val="TH Char"/>
    <w:link w:val="104"/>
    <w:qFormat/>
    <w:locked/>
    <w:uiPriority w:val="0"/>
    <w:rPr>
      <w:rFonts w:ascii="Arial" w:hAnsi="Arial"/>
      <w:b/>
      <w:lang w:val="en-GB" w:eastAsia="en-US"/>
    </w:rPr>
  </w:style>
  <w:style w:type="character" w:customStyle="1" w:styleId="179">
    <w:name w:val="NO Zchn"/>
    <w:link w:val="105"/>
    <w:qFormat/>
    <w:uiPriority w:val="0"/>
    <w:rPr>
      <w:rFonts w:ascii="Times New Roman" w:hAnsi="Times New Roman"/>
      <w:lang w:val="en-GB" w:eastAsia="en-US"/>
    </w:rPr>
  </w:style>
  <w:style w:type="character" w:customStyle="1" w:styleId="180">
    <w:name w:val="TAC Char"/>
    <w:link w:val="101"/>
    <w:qFormat/>
    <w:uiPriority w:val="0"/>
    <w:rPr>
      <w:rFonts w:ascii="Arial" w:hAnsi="Arial"/>
      <w:sz w:val="18"/>
      <w:lang w:val="en-GB" w:eastAsia="en-US"/>
    </w:rPr>
  </w:style>
  <w:style w:type="character" w:customStyle="1" w:styleId="181">
    <w:name w:val="标题 4 Char"/>
    <w:link w:val="6"/>
    <w:qFormat/>
    <w:uiPriority w:val="0"/>
    <w:rPr>
      <w:rFonts w:ascii="Arial" w:hAnsi="Arial"/>
      <w:sz w:val="24"/>
      <w:lang w:val="en-GB" w:eastAsia="en-US"/>
    </w:rPr>
  </w:style>
  <w:style w:type="paragraph" w:customStyle="1" w:styleId="182">
    <w:name w:val="Revision"/>
    <w:hidden/>
    <w:semiHidden/>
    <w:uiPriority w:val="99"/>
    <w:rPr>
      <w:rFonts w:ascii="Times New Roman" w:hAnsi="Times New Roman" w:eastAsia="等线" w:cs="Times New Roman"/>
      <w:lang w:val="en-GB" w:eastAsia="en-US" w:bidi="ar-SA"/>
    </w:rPr>
  </w:style>
  <w:style w:type="character" w:customStyle="1" w:styleId="183">
    <w:name w:val="TAN Char"/>
    <w:link w:val="115"/>
    <w:qFormat/>
    <w:uiPriority w:val="0"/>
    <w:rPr>
      <w:rFonts w:ascii="Arial" w:hAnsi="Arial"/>
      <w:sz w:val="18"/>
      <w:lang w:val="en-GB" w:eastAsia="en-US"/>
    </w:rPr>
  </w:style>
  <w:style w:type="character" w:customStyle="1" w:styleId="184">
    <w:name w:val="文档结构图 Char"/>
    <w:link w:val="37"/>
    <w:qFormat/>
    <w:uiPriority w:val="0"/>
    <w:rPr>
      <w:rFonts w:ascii="Tahoma" w:hAnsi="Tahoma" w:cs="Tahoma"/>
      <w:shd w:val="clear" w:color="auto" w:fill="000080"/>
      <w:lang w:val="en-GB" w:eastAsia="en-US"/>
    </w:rPr>
  </w:style>
  <w:style w:type="character" w:customStyle="1" w:styleId="185">
    <w:name w:val="标题 2 Char"/>
    <w:basedOn w:val="91"/>
    <w:link w:val="4"/>
    <w:qFormat/>
    <w:uiPriority w:val="0"/>
    <w:rPr>
      <w:rFonts w:ascii="Arial" w:hAnsi="Arial"/>
      <w:sz w:val="32"/>
      <w:lang w:val="en-GB" w:eastAsia="en-US"/>
    </w:rPr>
  </w:style>
  <w:style w:type="character" w:customStyle="1" w:styleId="186">
    <w:name w:val="标题 8 Char"/>
    <w:basedOn w:val="91"/>
    <w:link w:val="11"/>
    <w:qFormat/>
    <w:uiPriority w:val="0"/>
    <w:rPr>
      <w:rFonts w:ascii="Arial" w:hAnsi="Arial"/>
      <w:sz w:val="36"/>
      <w:lang w:val="en-GB" w:eastAsia="en-US"/>
    </w:rPr>
  </w:style>
  <w:style w:type="character" w:customStyle="1" w:styleId="187">
    <w:name w:val="标题 5 Char"/>
    <w:basedOn w:val="91"/>
    <w:link w:val="7"/>
    <w:qFormat/>
    <w:uiPriority w:val="0"/>
    <w:rPr>
      <w:rFonts w:ascii="Arial" w:hAnsi="Arial"/>
      <w:sz w:val="22"/>
      <w:lang w:val="en-GB" w:eastAsia="en-US"/>
    </w:rPr>
  </w:style>
  <w:style w:type="character" w:customStyle="1" w:styleId="188">
    <w:name w:val="EW Char"/>
    <w:link w:val="110"/>
    <w:qFormat/>
    <w:locked/>
    <w:uiPriority w:val="0"/>
    <w:rPr>
      <w:rFonts w:ascii="Times New Roman" w:hAnsi="Times New Roman"/>
      <w:lang w:val="en-GB" w:eastAsia="en-US"/>
    </w:rPr>
  </w:style>
  <w:style w:type="character" w:customStyle="1" w:styleId="189">
    <w:name w:val="Editor's Note Char"/>
    <w:link w:val="123"/>
    <w:qFormat/>
    <w:uiPriority w:val="0"/>
    <w:rPr>
      <w:rFonts w:ascii="Times New Roman" w:hAnsi="Times New Roman"/>
      <w:color w:val="FF0000"/>
      <w:lang w:val="en-GB" w:eastAsia="en-US"/>
    </w:rPr>
  </w:style>
  <w:style w:type="character" w:customStyle="1" w:styleId="190">
    <w:name w:val="批注文字 Char"/>
    <w:basedOn w:val="91"/>
    <w:link w:val="39"/>
    <w:qFormat/>
    <w:uiPriority w:val="0"/>
    <w:rPr>
      <w:rFonts w:ascii="Times New Roman" w:hAnsi="Times New Roman"/>
      <w:lang w:val="en-GB" w:eastAsia="en-US"/>
    </w:rPr>
  </w:style>
  <w:style w:type="character" w:customStyle="1" w:styleId="191">
    <w:name w:val="批注主题 Char"/>
    <w:basedOn w:val="190"/>
    <w:link w:val="86"/>
    <w:qFormat/>
    <w:uiPriority w:val="0"/>
    <w:rPr>
      <w:rFonts w:ascii="Times New Roman" w:hAnsi="Times New Roman"/>
      <w:b/>
      <w:bCs/>
      <w:lang w:val="en-GB" w:eastAsia="en-US"/>
    </w:rPr>
  </w:style>
  <w:style w:type="character" w:customStyle="1" w:styleId="192">
    <w:name w:val="脚注文本 Char"/>
    <w:basedOn w:val="91"/>
    <w:link w:val="70"/>
    <w:qFormat/>
    <w:uiPriority w:val="0"/>
    <w:rPr>
      <w:rFonts w:ascii="Times New Roman" w:hAnsi="Times New Roman"/>
      <w:sz w:val="16"/>
      <w:lang w:val="en-GB" w:eastAsia="en-US"/>
    </w:rPr>
  </w:style>
  <w:style w:type="character" w:customStyle="1" w:styleId="193">
    <w:name w:val="TF Char"/>
    <w:link w:val="103"/>
    <w:qFormat/>
    <w:uiPriority w:val="0"/>
    <w:rPr>
      <w:rFonts w:ascii="Arial" w:hAnsi="Arial"/>
      <w:b/>
      <w:lang w:val="en-GB" w:eastAsia="en-US"/>
    </w:rPr>
  </w:style>
  <w:style w:type="character" w:customStyle="1" w:styleId="194">
    <w:name w:val="标题 3 Char"/>
    <w:link w:val="5"/>
    <w:qFormat/>
    <w:uiPriority w:val="0"/>
    <w:rPr>
      <w:rFonts w:ascii="Arial" w:hAnsi="Arial"/>
      <w:sz w:val="28"/>
      <w:lang w:val="en-GB" w:eastAsia="en-US"/>
    </w:rPr>
  </w:style>
  <w:style w:type="paragraph" w:customStyle="1" w:styleId="195">
    <w:name w:val="msonormal"/>
    <w:basedOn w:val="1"/>
    <w:qFormat/>
    <w:uiPriority w:val="0"/>
    <w:pPr>
      <w:spacing w:before="100" w:beforeAutospacing="1" w:after="100" w:afterAutospacing="1"/>
    </w:pPr>
    <w:rPr>
      <w:rFonts w:eastAsia="Times New Roman"/>
      <w:sz w:val="24"/>
      <w:szCs w:val="24"/>
      <w:lang w:eastAsia="en-IN"/>
    </w:rPr>
  </w:style>
  <w:style w:type="character" w:customStyle="1" w:styleId="196">
    <w:name w:val="NO Char"/>
    <w:qFormat/>
    <w:uiPriority w:val="0"/>
    <w:rPr>
      <w:rFonts w:ascii="Times New Roman" w:hAnsi="Times New Roman"/>
      <w:lang w:val="en-GB" w:eastAsia="en-US"/>
    </w:rPr>
  </w:style>
  <w:style w:type="character" w:customStyle="1" w:styleId="197">
    <w:name w:val="TAH Car"/>
    <w:qFormat/>
    <w:uiPriority w:val="0"/>
    <w:rPr>
      <w:rFonts w:ascii="Arial" w:hAnsi="Arial"/>
      <w:b/>
      <w:sz w:val="18"/>
      <w:lang w:val="en-GB" w:eastAsia="en-US"/>
    </w:rPr>
  </w:style>
  <w:style w:type="character" w:customStyle="1" w:styleId="198">
    <w:name w:val="Editor's Note Zchn"/>
    <w:qFormat/>
    <w:uiPriority w:val="0"/>
    <w:rPr>
      <w:rFonts w:ascii="Times New Roman" w:hAnsi="Times New Roman"/>
      <w:color w:val="FF0000"/>
      <w:lang w:val="en-GB"/>
    </w:rPr>
  </w:style>
  <w:style w:type="character" w:customStyle="1" w:styleId="199">
    <w:name w:val="Editor's Note Char Char"/>
    <w:qFormat/>
    <w:locked/>
    <w:uiPriority w:val="0"/>
    <w:rPr>
      <w:color w:val="FF0000"/>
      <w:lang w:val="en-GB" w:eastAsia="en-US"/>
    </w:rPr>
  </w:style>
  <w:style w:type="character" w:customStyle="1" w:styleId="200">
    <w:name w:val="标题 1 Char"/>
    <w:link w:val="3"/>
    <w:qFormat/>
    <w:uiPriority w:val="0"/>
    <w:rPr>
      <w:rFonts w:ascii="Arial" w:hAnsi="Arial"/>
      <w:sz w:val="36"/>
      <w:lang w:val="en-GB" w:eastAsia="en-US"/>
    </w:rPr>
  </w:style>
  <w:style w:type="character" w:customStyle="1" w:styleId="201">
    <w:name w:val="H6 (文字)"/>
    <w:link w:val="9"/>
    <w:qFormat/>
    <w:uiPriority w:val="0"/>
    <w:rPr>
      <w:rFonts w:ascii="Arial" w:hAnsi="Arial"/>
      <w:lang w:val="en-GB" w:eastAsia="en-US"/>
    </w:rPr>
  </w:style>
  <w:style w:type="character" w:customStyle="1" w:styleId="202">
    <w:name w:val="TH Zchn"/>
    <w:qFormat/>
    <w:uiPriority w:val="0"/>
    <w:rPr>
      <w:rFonts w:ascii="Arial" w:hAnsi="Arial"/>
      <w:b/>
      <w:lang w:eastAsia="en-US"/>
    </w:rPr>
  </w:style>
  <w:style w:type="character" w:customStyle="1" w:styleId="203">
    <w:name w:val="TAN (文字)"/>
    <w:qFormat/>
    <w:uiPriority w:val="0"/>
    <w:rPr>
      <w:rFonts w:ascii="Arial" w:hAnsi="Arial"/>
      <w:sz w:val="18"/>
      <w:lang w:eastAsia="en-US"/>
    </w:rPr>
  </w:style>
  <w:style w:type="character" w:customStyle="1" w:styleId="204">
    <w:name w:val="B3 Char"/>
    <w:link w:val="126"/>
    <w:qFormat/>
    <w:uiPriority w:val="0"/>
    <w:rPr>
      <w:rFonts w:ascii="Times New Roman" w:hAnsi="Times New Roman"/>
      <w:lang w:val="en-GB" w:eastAsia="en-US"/>
    </w:rPr>
  </w:style>
  <w:style w:type="character" w:customStyle="1" w:styleId="205">
    <w:name w:val="页脚 Char"/>
    <w:link w:val="61"/>
    <w:qFormat/>
    <w:uiPriority w:val="0"/>
    <w:rPr>
      <w:rFonts w:ascii="Arial" w:hAnsi="Arial"/>
      <w:b/>
      <w:i/>
      <w:sz w:val="18"/>
      <w:lang w:val="en-GB" w:eastAsia="en-US"/>
    </w:rPr>
  </w:style>
  <w:style w:type="paragraph" w:customStyle="1" w:styleId="206">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character" w:customStyle="1" w:styleId="207">
    <w:name w:val="CR Cover Page Zchn"/>
    <w:link w:val="130"/>
    <w:qFormat/>
    <w:uiPriority w:val="0"/>
    <w:rPr>
      <w:rFonts w:ascii="Arial" w:hAnsi="Arial"/>
      <w:lang w:val="en-GB" w:eastAsia="en-US"/>
    </w:rPr>
  </w:style>
  <w:style w:type="paragraph" w:customStyle="1" w:styleId="208">
    <w:name w:val="B1+"/>
    <w:basedOn w:val="124"/>
    <w:qFormat/>
    <w:uiPriority w:val="0"/>
    <w:pPr>
      <w:numPr>
        <w:ilvl w:val="0"/>
        <w:numId w:val="4"/>
      </w:numPr>
      <w:overflowPunct w:val="0"/>
      <w:autoSpaceDE w:val="0"/>
      <w:autoSpaceDN w:val="0"/>
      <w:adjustRightInd w:val="0"/>
      <w:textAlignment w:val="baseline"/>
    </w:pPr>
    <w:rPr>
      <w:rFonts w:eastAsia="Times New Roman"/>
    </w:rPr>
  </w:style>
  <w:style w:type="character" w:customStyle="1" w:styleId="209">
    <w:name w:val="Unresolved Mention"/>
    <w:semiHidden/>
    <w:unhideWhenUsed/>
    <w:qFormat/>
    <w:uiPriority w:val="99"/>
    <w:rPr>
      <w:color w:val="808080"/>
      <w:shd w:val="clear" w:color="auto" w:fill="E6E6E6"/>
    </w:rPr>
  </w:style>
  <w:style w:type="character" w:customStyle="1" w:styleId="210">
    <w:name w:val="B1 Char1"/>
    <w:qFormat/>
    <w:uiPriority w:val="0"/>
    <w:rPr>
      <w:rFonts w:ascii="Times New Roman" w:hAnsi="Times New Roman"/>
      <w:lang w:val="en-GB"/>
    </w:rPr>
  </w:style>
  <w:style w:type="character" w:customStyle="1" w:styleId="211">
    <w:name w:val="B3 Char2"/>
    <w:qFormat/>
    <w:uiPriority w:val="0"/>
    <w:rPr>
      <w:lang w:eastAsia="en-US"/>
    </w:rPr>
  </w:style>
  <w:style w:type="table" w:customStyle="1" w:styleId="212">
    <w:name w:val="网格型1"/>
    <w:basedOn w:val="89"/>
    <w:qFormat/>
    <w:uiPriority w:val="39"/>
    <w:rPr>
      <w:rFonts w:ascii="Calibri" w:hAnsi="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3">
    <w:name w:val="标题 6 Char"/>
    <w:link w:val="8"/>
    <w:qFormat/>
    <w:uiPriority w:val="0"/>
    <w:rPr>
      <w:rFonts w:ascii="Arial" w:hAnsi="Arial"/>
      <w:lang w:val="en-GB" w:eastAsia="en-US"/>
    </w:rPr>
  </w:style>
  <w:style w:type="character" w:customStyle="1" w:styleId="214">
    <w:name w:val="标题 7 Char"/>
    <w:link w:val="10"/>
    <w:qFormat/>
    <w:uiPriority w:val="0"/>
    <w:rPr>
      <w:rFonts w:ascii="Arial" w:hAnsi="Arial"/>
      <w:lang w:val="en-GB" w:eastAsia="en-US"/>
    </w:rPr>
  </w:style>
  <w:style w:type="character" w:customStyle="1" w:styleId="215">
    <w:name w:val="标题 9 Char"/>
    <w:link w:val="12"/>
    <w:qFormat/>
    <w:uiPriority w:val="0"/>
    <w:rPr>
      <w:rFonts w:ascii="Arial" w:hAnsi="Arial"/>
      <w:sz w:val="36"/>
      <w:lang w:val="en-GB" w:eastAsia="en-US"/>
    </w:rPr>
  </w:style>
  <w:style w:type="character" w:customStyle="1" w:styleId="216">
    <w:name w:val="页眉 Char"/>
    <w:link w:val="62"/>
    <w:qFormat/>
    <w:uiPriority w:val="0"/>
    <w:rPr>
      <w:rFonts w:ascii="Arial" w:hAnsi="Arial"/>
      <w:b/>
      <w:sz w:val="18"/>
      <w:lang w:val="en-GB" w:eastAsia="en-US"/>
    </w:rPr>
  </w:style>
  <w:style w:type="character" w:customStyle="1" w:styleId="217">
    <w:name w:val="标题 5 字符1"/>
    <w:semiHidden/>
    <w:qFormat/>
    <w:locked/>
    <w:uiPriority w:val="0"/>
    <w:rPr>
      <w:rFonts w:ascii="Arial" w:hAnsi="Arial"/>
      <w:sz w:val="22"/>
      <w:lang w:val="en-GB" w:eastAsia="en-US"/>
    </w:rPr>
  </w:style>
  <w:style w:type="character" w:customStyle="1" w:styleId="218">
    <w:name w:val="Unresolved Mention2"/>
    <w:semiHidden/>
    <w:unhideWhenUsed/>
    <w:qFormat/>
    <w:uiPriority w:val="99"/>
    <w:rPr>
      <w:color w:val="808080"/>
      <w:shd w:val="clear" w:color="auto" w:fill="E6E6E6"/>
    </w:rPr>
  </w:style>
  <w:style w:type="paragraph" w:customStyle="1" w:styleId="219">
    <w:name w:val="Style1"/>
    <w:basedOn w:val="11"/>
    <w:qFormat/>
    <w:uiPriority w:val="0"/>
    <w:pPr>
      <w:pageBreakBefore/>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7E8BC-2E5C-4094-BA54-359B7EEC74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4077</Words>
  <Characters>23245</Characters>
  <Lines>193</Lines>
  <Paragraphs>54</Paragraphs>
  <TotalTime>3</TotalTime>
  <ScaleCrop>false</ScaleCrop>
  <LinksUpToDate>false</LinksUpToDate>
  <CharactersWithSpaces>27268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zhenning</cp:lastModifiedBy>
  <cp:lastPrinted>2411-12-31T23:00:00Z</cp:lastPrinted>
  <dcterms:modified xsi:type="dcterms:W3CDTF">2023-08-14T13:32:47Z</dcterms:modified>
  <dc:title>MTG_TITLE</dc:title>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(3)9f3lWNgdB73xu08FCoWnq3ZMUbtgFuTPq7i0VgOJseHT5SGtpJXY3q3/UtqLQLevHw/58Dyv
2y0o9hciB5AYA+hXnT5rsFKrMj8k1LCgHkd7XaX5oHxcsF7nbpjU3NnvexDbGNPEFnmByUsc
bxaiclCM99yNvMspXztsMQ9eUpuAliIpAKv372jIO2BVjSeTrVkqP3ZfSMeN/PFrd9yuclHa
8HU2FNu33Zhqom4IRc</vt:lpwstr>
  </property>
  <property fmtid="{D5CDD505-2E9C-101B-9397-08002B2CF9AE}" pid="22" name="_2015_ms_pID_7253431">
    <vt:lpwstr>00QXcMW5hYkotjLxkKBq/tgShXKPEvwJDtBGrD5YDgIf0CIlY4Vsyo
ov8CFz+0AyorM8qFsQy2Nh1tO5QogzefTkm/VM4fcIcFsovkD2nTdCT286SVGdoSfFU7J3lu
ItsTmPIIoXmXAQaXATml+JkIMgibjRGkoc3kZp4hOwtqvPZaFcqi5m6DZInxcIpr6ZwsQekN
7njMKNN+aMZmT9GgmaiOnTov5AO8RZyDJp07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IEWvIJLqO+FWNuqxi82migU=</vt:lpwstr>
  </property>
  <property fmtid="{D5CDD505-2E9C-101B-9397-08002B2CF9AE}" pid="28" name="KSOProductBuildVer">
    <vt:lpwstr>2052-11.8.2.12085</vt:lpwstr>
  </property>
  <property fmtid="{D5CDD505-2E9C-101B-9397-08002B2CF9AE}" pid="29" name="ICV">
    <vt:lpwstr>595C2F88B0384F67AC5C368ED46196DD</vt:lpwstr>
  </property>
</Properties>
</file>